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DB3" w:rsidRPr="00A21F62" w:rsidRDefault="00A24DB3" w:rsidP="00B70A32">
      <w:pPr>
        <w:spacing w:after="0"/>
        <w:ind w:right="-16"/>
        <w:rPr>
          <w:rFonts w:ascii="Arial" w:hAnsi="Arial" w:cs="Arial"/>
          <w:b/>
          <w:bCs/>
          <w:sz w:val="24"/>
          <w:szCs w:val="24"/>
          <w:lang w:val="en-GB"/>
        </w:rPr>
      </w:pPr>
      <w:r w:rsidRPr="00A21F62">
        <w:rPr>
          <w:rFonts w:ascii="Arial" w:hAnsi="Arial" w:cs="Arial"/>
          <w:b/>
          <w:bCs/>
          <w:sz w:val="24"/>
          <w:szCs w:val="24"/>
          <w:lang w:val="en-GB"/>
        </w:rPr>
        <w:t>The Cross-border Conference</w:t>
      </w:r>
    </w:p>
    <w:p w:rsidR="00A24DB3" w:rsidRPr="00990AD7" w:rsidRDefault="00A24DB3" w:rsidP="00B70A32">
      <w:pPr>
        <w:spacing w:after="0"/>
        <w:ind w:right="-16"/>
        <w:rPr>
          <w:b/>
          <w:bCs/>
          <w:sz w:val="24"/>
          <w:szCs w:val="24"/>
          <w:lang w:val="en-GB"/>
        </w:rPr>
      </w:pPr>
    </w:p>
    <w:p w:rsidR="00A24DB3" w:rsidRPr="00990AD7" w:rsidRDefault="00A24DB3" w:rsidP="00B70A32">
      <w:pPr>
        <w:pBdr>
          <w:bottom w:val="single" w:sz="18" w:space="1" w:color="0000DC"/>
        </w:pBdr>
        <w:spacing w:after="0"/>
        <w:ind w:right="-16"/>
        <w:rPr>
          <w:b/>
          <w:bCs/>
          <w:sz w:val="24"/>
          <w:szCs w:val="24"/>
          <w:lang w:val="en-GB"/>
        </w:rPr>
      </w:pPr>
      <w:r w:rsidRPr="00990AD7">
        <w:rPr>
          <w:rFonts w:ascii="Muni Bold" w:hAnsi="Muni Bold"/>
          <w:b/>
          <w:bCs/>
          <w:color w:val="0000DC"/>
          <w:sz w:val="52"/>
          <w:szCs w:val="32"/>
          <w:lang w:val="en-GB"/>
        </w:rPr>
        <w:t xml:space="preserve">International </w:t>
      </w:r>
      <w:r w:rsidRPr="00990AD7">
        <w:rPr>
          <w:rFonts w:ascii="Muni Bold" w:hAnsi="Muni Bold"/>
          <w:b/>
          <w:bCs/>
          <w:color w:val="0000DC"/>
          <w:sz w:val="52"/>
          <w:szCs w:val="32"/>
          <w:lang w:val="en-GB"/>
        </w:rPr>
        <w:br/>
        <w:t xml:space="preserve">Legal History Meeting </w:t>
      </w:r>
      <w:r w:rsidRPr="00990AD7">
        <w:rPr>
          <w:rFonts w:ascii="Muni Bold" w:hAnsi="Muni Bold"/>
          <w:b/>
          <w:bCs/>
          <w:color w:val="0000DC"/>
          <w:sz w:val="52"/>
          <w:szCs w:val="32"/>
          <w:lang w:val="en-GB"/>
        </w:rPr>
        <w:br/>
        <w:t>of PhD Students</w:t>
      </w:r>
      <w:r w:rsidR="00B70A32">
        <w:rPr>
          <w:rFonts w:ascii="Muni Bold" w:hAnsi="Muni Bold"/>
          <w:b/>
          <w:bCs/>
          <w:color w:val="0000DC"/>
          <w:sz w:val="52"/>
          <w:szCs w:val="32"/>
          <w:lang w:val="en-GB"/>
        </w:rPr>
        <w:t xml:space="preserve"> 2026</w:t>
      </w:r>
    </w:p>
    <w:p w:rsidR="00A24DB3" w:rsidRPr="00A21F62" w:rsidRDefault="00A24DB3" w:rsidP="00B70A32">
      <w:pPr>
        <w:spacing w:before="120" w:after="0" w:line="240" w:lineRule="auto"/>
        <w:ind w:right="-17"/>
        <w:rPr>
          <w:rFonts w:ascii="Arial" w:hAnsi="Arial" w:cs="Arial"/>
          <w:b/>
          <w:bCs/>
          <w:szCs w:val="24"/>
          <w:lang w:val="en-GB"/>
        </w:rPr>
      </w:pPr>
      <w:r w:rsidRPr="00A21F62">
        <w:rPr>
          <w:rFonts w:ascii="Arial" w:hAnsi="Arial" w:cs="Arial"/>
          <w:b/>
          <w:bCs/>
          <w:szCs w:val="24"/>
          <w:lang w:val="en-GB"/>
        </w:rPr>
        <w:t xml:space="preserve">September </w:t>
      </w:r>
      <w:r w:rsidR="00B70A32">
        <w:rPr>
          <w:rFonts w:ascii="Arial" w:hAnsi="Arial" w:cs="Arial"/>
          <w:b/>
          <w:bCs/>
          <w:szCs w:val="24"/>
          <w:lang w:val="en-GB"/>
        </w:rPr>
        <w:t>23</w:t>
      </w:r>
      <w:r w:rsidR="00A21F62" w:rsidRPr="00A21F62">
        <w:rPr>
          <w:rFonts w:ascii="Arial" w:hAnsi="Arial" w:cs="Arial"/>
          <w:b/>
          <w:bCs/>
          <w:szCs w:val="24"/>
          <w:lang w:val="en-GB"/>
        </w:rPr>
        <w:t>-</w:t>
      </w:r>
      <w:r w:rsidR="00B70A32">
        <w:rPr>
          <w:rFonts w:ascii="Arial" w:hAnsi="Arial" w:cs="Arial"/>
          <w:b/>
          <w:bCs/>
          <w:szCs w:val="24"/>
          <w:lang w:val="en-GB"/>
        </w:rPr>
        <w:t>24</w:t>
      </w:r>
      <w:r w:rsidRPr="00A21F62">
        <w:rPr>
          <w:rFonts w:ascii="Arial" w:hAnsi="Arial" w:cs="Arial"/>
          <w:b/>
          <w:bCs/>
          <w:szCs w:val="24"/>
          <w:lang w:val="en-GB"/>
        </w:rPr>
        <w:t>, 202</w:t>
      </w:r>
      <w:r w:rsidR="00B70A32">
        <w:rPr>
          <w:rFonts w:ascii="Arial" w:hAnsi="Arial" w:cs="Arial"/>
          <w:b/>
          <w:bCs/>
          <w:szCs w:val="24"/>
          <w:lang w:val="en-GB"/>
        </w:rPr>
        <w:t>6</w:t>
      </w:r>
      <w:r w:rsidRPr="00A21F62">
        <w:rPr>
          <w:rFonts w:ascii="Arial" w:hAnsi="Arial" w:cs="Arial"/>
          <w:b/>
          <w:bCs/>
          <w:szCs w:val="24"/>
          <w:lang w:val="en-GB"/>
        </w:rPr>
        <w:br/>
        <w:t xml:space="preserve">Department of the History of the State and Law of the Faculty of Law, </w:t>
      </w:r>
      <w:r w:rsidR="00A21F62">
        <w:rPr>
          <w:rFonts w:ascii="Arial" w:hAnsi="Arial" w:cs="Arial"/>
          <w:b/>
          <w:bCs/>
          <w:szCs w:val="24"/>
          <w:lang w:val="en-GB"/>
        </w:rPr>
        <w:br/>
      </w:r>
      <w:r w:rsidRPr="00A21F62">
        <w:rPr>
          <w:rFonts w:ascii="Arial" w:hAnsi="Arial" w:cs="Arial"/>
          <w:b/>
          <w:bCs/>
          <w:szCs w:val="24"/>
          <w:lang w:val="en-GB"/>
        </w:rPr>
        <w:t>Masaryk University in Brno</w:t>
      </w:r>
    </w:p>
    <w:p w:rsidR="00A24DB3" w:rsidRDefault="00A24DB3" w:rsidP="00A24DB3">
      <w:pPr>
        <w:spacing w:after="0"/>
        <w:rPr>
          <w:lang w:val="en-GB"/>
        </w:rPr>
        <w:sectPr w:rsidR="00A24DB3" w:rsidSect="0042257E">
          <w:headerReference w:type="first" r:id="rId7"/>
          <w:pgSz w:w="11906" w:h="16838" w:code="9"/>
          <w:pgMar w:top="1418" w:right="1418" w:bottom="1418" w:left="1418" w:header="709" w:footer="709" w:gutter="0"/>
          <w:cols w:space="708"/>
          <w:vAlign w:val="center"/>
          <w:titlePg/>
          <w:docGrid w:linePitch="360"/>
        </w:sectPr>
      </w:pPr>
      <w:r w:rsidRPr="00990AD7">
        <w:rPr>
          <w:lang w:val="en-GB"/>
        </w:rPr>
        <w:br w:type="page"/>
      </w:r>
    </w:p>
    <w:p w:rsidR="00A24DB3" w:rsidRPr="00990AD7" w:rsidRDefault="00A24DB3" w:rsidP="00A24DB3">
      <w:pPr>
        <w:spacing w:after="0"/>
        <w:rPr>
          <w:sz w:val="8"/>
          <w:lang w:val="en-GB"/>
        </w:rPr>
      </w:pPr>
    </w:p>
    <w:p w:rsidR="00A24DB3" w:rsidRPr="00950593" w:rsidRDefault="00A24DB3" w:rsidP="00B70A32">
      <w:pPr>
        <w:shd w:val="clear" w:color="auto" w:fill="0000DC"/>
        <w:spacing w:before="120" w:after="120"/>
        <w:ind w:right="-17"/>
        <w:rPr>
          <w:rFonts w:ascii="Muni" w:hAnsi="Muni"/>
          <w:b/>
          <w:bCs/>
          <w:sz w:val="24"/>
          <w:szCs w:val="32"/>
          <w:lang w:val="en-GB"/>
        </w:rPr>
      </w:pPr>
      <w:r w:rsidRPr="00950593">
        <w:rPr>
          <w:rFonts w:ascii="Muni" w:hAnsi="Muni"/>
          <w:b/>
          <w:bCs/>
          <w:sz w:val="24"/>
          <w:szCs w:val="32"/>
          <w:lang w:val="en-GB"/>
        </w:rPr>
        <w:t>International Legal History Meeting of PhD Students</w:t>
      </w:r>
      <w:r w:rsidR="004879F4">
        <w:rPr>
          <w:rFonts w:ascii="Muni" w:hAnsi="Muni"/>
          <w:b/>
          <w:bCs/>
          <w:sz w:val="24"/>
          <w:szCs w:val="32"/>
          <w:lang w:val="en-GB"/>
        </w:rPr>
        <w:t xml:space="preserve"> 2024</w:t>
      </w:r>
    </w:p>
    <w:p w:rsidR="00A24DB3" w:rsidRPr="00950593" w:rsidRDefault="00A24DB3" w:rsidP="00B70A32">
      <w:pPr>
        <w:shd w:val="clear" w:color="auto" w:fill="0000DC"/>
        <w:spacing w:before="120" w:after="120"/>
        <w:ind w:right="-17"/>
        <w:rPr>
          <w:rFonts w:ascii="Muni Bold" w:hAnsi="Muni Bold"/>
          <w:b/>
          <w:bCs/>
          <w:sz w:val="48"/>
          <w:szCs w:val="32"/>
          <w:lang w:val="en-GB"/>
        </w:rPr>
      </w:pPr>
      <w:r w:rsidRPr="00A24DB3">
        <w:rPr>
          <w:rFonts w:ascii="Muni Bold" w:hAnsi="Muni Bold"/>
          <w:b/>
          <w:bCs/>
          <w:sz w:val="48"/>
          <w:szCs w:val="32"/>
          <w:lang w:val="en-GB"/>
        </w:rPr>
        <w:t xml:space="preserve">Instructions &amp; Requirements for Conference </w:t>
      </w:r>
      <w:r>
        <w:rPr>
          <w:rFonts w:ascii="Muni Bold" w:hAnsi="Muni Bold"/>
          <w:b/>
          <w:bCs/>
          <w:sz w:val="48"/>
          <w:szCs w:val="32"/>
          <w:lang w:val="en-GB"/>
        </w:rPr>
        <w:br/>
      </w:r>
      <w:r w:rsidRPr="00A24DB3">
        <w:rPr>
          <w:rFonts w:ascii="Muni Bold" w:hAnsi="Muni Bold"/>
          <w:b/>
          <w:bCs/>
          <w:sz w:val="48"/>
          <w:szCs w:val="32"/>
          <w:lang w:val="en-GB"/>
        </w:rPr>
        <w:t>Processing Papers</w:t>
      </w:r>
    </w:p>
    <w:p w:rsidR="00A24DB3" w:rsidRPr="00A21F62" w:rsidRDefault="00A24DB3" w:rsidP="00B70A32">
      <w:pPr>
        <w:spacing w:after="0" w:line="360" w:lineRule="auto"/>
        <w:ind w:right="-16"/>
        <w:rPr>
          <w:rFonts w:ascii="Arial" w:hAnsi="Arial" w:cs="Arial"/>
          <w:sz w:val="24"/>
          <w:szCs w:val="24"/>
          <w:lang w:val="en-GB"/>
        </w:rPr>
      </w:pPr>
      <w:r w:rsidRPr="00A21F62">
        <w:rPr>
          <w:rFonts w:ascii="Arial" w:hAnsi="Arial" w:cs="Arial"/>
          <w:b/>
          <w:bCs/>
          <w:sz w:val="24"/>
          <w:szCs w:val="24"/>
          <w:lang w:val="en-GB"/>
        </w:rPr>
        <w:t>Proceeding paper submission:</w:t>
      </w:r>
      <w:r w:rsidR="00A21F62" w:rsidRPr="00A21F62">
        <w:rPr>
          <w:rFonts w:ascii="Arial" w:hAnsi="Arial" w:cs="Arial"/>
          <w:sz w:val="24"/>
          <w:szCs w:val="24"/>
          <w:lang w:val="en-GB"/>
        </w:rPr>
        <w:t xml:space="preserve"> up to September </w:t>
      </w:r>
      <w:r w:rsidR="00B70A32">
        <w:rPr>
          <w:rFonts w:ascii="Arial" w:hAnsi="Arial" w:cs="Arial"/>
          <w:sz w:val="24"/>
          <w:szCs w:val="24"/>
          <w:lang w:val="en-GB"/>
        </w:rPr>
        <w:t>30</w:t>
      </w:r>
      <w:r w:rsidRPr="00A21F62">
        <w:rPr>
          <w:rFonts w:ascii="Arial" w:hAnsi="Arial" w:cs="Arial"/>
          <w:sz w:val="24"/>
          <w:szCs w:val="24"/>
          <w:lang w:val="en-GB"/>
        </w:rPr>
        <w:t>, 202</w:t>
      </w:r>
      <w:r w:rsidR="00B70A32">
        <w:rPr>
          <w:rFonts w:ascii="Arial" w:hAnsi="Arial" w:cs="Arial"/>
          <w:sz w:val="24"/>
          <w:szCs w:val="24"/>
          <w:lang w:val="en-GB"/>
        </w:rPr>
        <w:t>6</w:t>
      </w:r>
      <w:r w:rsidRPr="00A21F62">
        <w:rPr>
          <w:rFonts w:ascii="Arial" w:hAnsi="Arial" w:cs="Arial"/>
          <w:sz w:val="24"/>
          <w:szCs w:val="24"/>
          <w:lang w:val="en-GB"/>
        </w:rPr>
        <w:t>, via</w:t>
      </w:r>
    </w:p>
    <w:p w:rsidR="00A24DB3" w:rsidRPr="00A21F62" w:rsidRDefault="00A24DB3" w:rsidP="00B70A32">
      <w:pPr>
        <w:spacing w:after="0" w:line="360" w:lineRule="auto"/>
        <w:ind w:right="-16"/>
        <w:rPr>
          <w:rFonts w:ascii="Arial" w:hAnsi="Arial" w:cs="Arial"/>
          <w:color w:val="548DD4"/>
          <w:sz w:val="24"/>
          <w:szCs w:val="24"/>
          <w:u w:val="single"/>
          <w:lang w:val="en-GB"/>
        </w:rPr>
      </w:pPr>
      <w:r w:rsidRPr="00A21F62">
        <w:rPr>
          <w:rFonts w:ascii="Arial" w:hAnsi="Arial" w:cs="Arial"/>
          <w:b/>
          <w:color w:val="548DD4"/>
          <w:sz w:val="24"/>
          <w:szCs w:val="24"/>
          <w:u w:val="single"/>
          <w:lang w:val="en-GB"/>
        </w:rPr>
        <w:t>https://www.law.muni.cz/applications/en/conferences/</w:t>
      </w:r>
    </w:p>
    <w:p w:rsidR="00A24DB3" w:rsidRPr="00A21F62" w:rsidRDefault="00A24DB3" w:rsidP="00124B2F">
      <w:pPr>
        <w:numPr>
          <w:ilvl w:val="0"/>
          <w:numId w:val="1"/>
        </w:numPr>
        <w:spacing w:after="0" w:line="360" w:lineRule="auto"/>
        <w:ind w:left="567" w:right="-16" w:hanging="567"/>
        <w:rPr>
          <w:rFonts w:ascii="Arial" w:hAnsi="Arial" w:cs="Arial"/>
          <w:lang w:val="en-GB"/>
        </w:rPr>
      </w:pPr>
      <w:r w:rsidRPr="00A21F62">
        <w:rPr>
          <w:rFonts w:ascii="Arial" w:hAnsi="Arial" w:cs="Arial"/>
          <w:lang w:val="en-GB"/>
        </w:rPr>
        <w:t>Submitted papers will be published in a peer-reviewed printed conference proceedings</w:t>
      </w:r>
    </w:p>
    <w:p w:rsidR="00A24DB3" w:rsidRPr="00A21F62" w:rsidRDefault="00A24DB3" w:rsidP="00124B2F">
      <w:pPr>
        <w:numPr>
          <w:ilvl w:val="0"/>
          <w:numId w:val="1"/>
        </w:numPr>
        <w:spacing w:after="0" w:line="360" w:lineRule="auto"/>
        <w:ind w:left="567" w:right="-16" w:hanging="567"/>
        <w:jc w:val="both"/>
        <w:rPr>
          <w:rFonts w:ascii="Arial" w:hAnsi="Arial" w:cs="Arial"/>
          <w:lang w:val="en-GB"/>
        </w:rPr>
      </w:pPr>
      <w:r w:rsidRPr="00A21F62">
        <w:rPr>
          <w:rFonts w:ascii="Arial" w:hAnsi="Arial" w:cs="Arial"/>
          <w:lang w:val="en-GB"/>
        </w:rPr>
        <w:t xml:space="preserve">Papers submitted for publication must be original and must not have been submitted to any other publication </w:t>
      </w:r>
    </w:p>
    <w:p w:rsidR="00A24DB3" w:rsidRPr="00A21F62" w:rsidRDefault="00A24DB3" w:rsidP="00124B2F">
      <w:pPr>
        <w:numPr>
          <w:ilvl w:val="0"/>
          <w:numId w:val="1"/>
        </w:numPr>
        <w:spacing w:after="0" w:line="360" w:lineRule="auto"/>
        <w:ind w:left="567" w:right="-16" w:hanging="567"/>
        <w:jc w:val="both"/>
        <w:rPr>
          <w:rFonts w:ascii="Arial" w:hAnsi="Arial" w:cs="Arial"/>
          <w:lang w:val="en-GB"/>
        </w:rPr>
      </w:pPr>
      <w:r w:rsidRPr="00A21F62">
        <w:rPr>
          <w:rFonts w:ascii="Arial" w:hAnsi="Arial" w:cs="Arial"/>
          <w:lang w:val="en-GB"/>
        </w:rPr>
        <w:t>The text must respect the principles which are customary for scientific work; text division must be even and reasonable (use Arabic numerals with a dot for chapters) and must contain a note-taking apparatus (continuous) as footnote with quotations as is hereinafter shown</w:t>
      </w:r>
    </w:p>
    <w:p w:rsidR="00A24DB3" w:rsidRPr="00A21F62" w:rsidRDefault="00A24DB3" w:rsidP="00124B2F">
      <w:pPr>
        <w:numPr>
          <w:ilvl w:val="0"/>
          <w:numId w:val="1"/>
        </w:numPr>
        <w:shd w:val="clear" w:color="auto" w:fill="FFFFFF"/>
        <w:spacing w:line="240" w:lineRule="auto"/>
        <w:ind w:left="567" w:hanging="567"/>
        <w:jc w:val="both"/>
        <w:rPr>
          <w:rFonts w:ascii="Arial" w:hAnsi="Arial" w:cs="Arial"/>
          <w:lang w:val="en-GB"/>
        </w:rPr>
      </w:pPr>
      <w:r w:rsidRPr="00A21F62">
        <w:rPr>
          <w:rFonts w:ascii="Arial" w:hAnsi="Arial" w:cs="Arial"/>
          <w:lang w:val="en-GB"/>
        </w:rPr>
        <w:t>Scope of text: maximum 13 pages (</w:t>
      </w:r>
      <w:r w:rsidRPr="00A21F62">
        <w:rPr>
          <w:rFonts w:ascii="Arial" w:hAnsi="Arial" w:cs="Arial"/>
          <w:u w:val="single"/>
          <w:lang w:val="en-GB"/>
        </w:rPr>
        <w:t>line spacing of the main text:</w:t>
      </w:r>
      <w:r w:rsidRPr="00A21F62">
        <w:rPr>
          <w:rFonts w:ascii="Arial" w:hAnsi="Arial" w:cs="Arial"/>
          <w:lang w:val="en-GB"/>
        </w:rPr>
        <w:t xml:space="preserve"> 1,5; Times New Roman 12; </w:t>
      </w:r>
      <w:r w:rsidRPr="00A21F62">
        <w:rPr>
          <w:rFonts w:ascii="Arial" w:hAnsi="Arial" w:cs="Arial"/>
          <w:u w:val="single"/>
          <w:lang w:val="en-GB"/>
        </w:rPr>
        <w:t>line spacing of the footnote:</w:t>
      </w:r>
      <w:r w:rsidRPr="00A21F62">
        <w:rPr>
          <w:rFonts w:ascii="Arial" w:hAnsi="Arial" w:cs="Arial"/>
          <w:lang w:val="en-GB"/>
        </w:rPr>
        <w:t xml:space="preserve"> 1, Times New Roman 10).</w:t>
      </w:r>
    </w:p>
    <w:p w:rsidR="00A24DB3" w:rsidRDefault="00A24DB3" w:rsidP="00124B2F">
      <w:pPr>
        <w:numPr>
          <w:ilvl w:val="0"/>
          <w:numId w:val="1"/>
        </w:numPr>
        <w:shd w:val="clear" w:color="auto" w:fill="FFFFFF"/>
        <w:spacing w:after="0" w:line="240" w:lineRule="auto"/>
        <w:ind w:left="567" w:hanging="567"/>
        <w:jc w:val="both"/>
        <w:rPr>
          <w:rFonts w:ascii="Arial" w:hAnsi="Arial" w:cs="Arial"/>
          <w:lang w:val="en-GB"/>
        </w:rPr>
      </w:pPr>
      <w:r w:rsidRPr="00A21F62">
        <w:rPr>
          <w:rFonts w:ascii="Arial" w:hAnsi="Arial" w:cs="Arial"/>
          <w:lang w:val="en-GB"/>
        </w:rPr>
        <w:t>Paper structure:</w:t>
      </w:r>
    </w:p>
    <w:p w:rsidR="006065E2" w:rsidRPr="00A21F62" w:rsidRDefault="006065E2" w:rsidP="006065E2">
      <w:pPr>
        <w:shd w:val="clear" w:color="auto" w:fill="FFFFFF"/>
        <w:spacing w:after="0" w:line="240" w:lineRule="auto"/>
        <w:ind w:left="567"/>
        <w:jc w:val="both"/>
        <w:rPr>
          <w:rFonts w:ascii="Arial" w:hAnsi="Arial" w:cs="Arial"/>
          <w:lang w:val="en-GB"/>
        </w:rPr>
      </w:pPr>
    </w:p>
    <w:p w:rsidR="00A24DB3" w:rsidRPr="00A21F62" w:rsidRDefault="00A24DB3" w:rsidP="00124B2F">
      <w:pPr>
        <w:shd w:val="clear" w:color="auto" w:fill="FFFFFF"/>
        <w:ind w:left="567"/>
        <w:jc w:val="both"/>
        <w:rPr>
          <w:rFonts w:ascii="Arial" w:hAnsi="Arial" w:cs="Arial"/>
          <w:lang w:val="en-GB"/>
        </w:rPr>
      </w:pPr>
      <w:r w:rsidRPr="00A21F62">
        <w:rPr>
          <w:rFonts w:ascii="Arial" w:hAnsi="Arial" w:cs="Arial"/>
          <w:lang w:val="en-GB"/>
        </w:rPr>
        <w:t>- Title (concise, precise, factual, must express the main topic as accurately as possible, must not contain abbreviations or acronyms)</w:t>
      </w:r>
    </w:p>
    <w:p w:rsidR="00A24DB3" w:rsidRPr="00A21F62" w:rsidRDefault="00A24DB3" w:rsidP="00124B2F">
      <w:pPr>
        <w:shd w:val="clear" w:color="auto" w:fill="FFFFFF"/>
        <w:ind w:left="567"/>
        <w:jc w:val="both"/>
        <w:rPr>
          <w:rFonts w:ascii="Arial" w:hAnsi="Arial" w:cs="Arial"/>
          <w:lang w:val="en-GB"/>
        </w:rPr>
      </w:pPr>
      <w:r w:rsidRPr="00A21F62">
        <w:rPr>
          <w:rFonts w:ascii="Arial" w:hAnsi="Arial" w:cs="Arial"/>
          <w:lang w:val="en-GB"/>
        </w:rPr>
        <w:t>- Author’s name and surname (authors’ names and surnames) with academic titles and workplace (department, faculty, university), postal and e-mail addresses (the conference proceedings will be sent here)</w:t>
      </w:r>
    </w:p>
    <w:p w:rsidR="00A24DB3" w:rsidRPr="00A21F62" w:rsidRDefault="00A24DB3" w:rsidP="00124B2F">
      <w:pPr>
        <w:shd w:val="clear" w:color="auto" w:fill="FFFFFF"/>
        <w:ind w:left="567"/>
        <w:jc w:val="both"/>
        <w:rPr>
          <w:rFonts w:ascii="Arial" w:hAnsi="Arial" w:cs="Arial"/>
          <w:lang w:val="en-GB"/>
        </w:rPr>
      </w:pPr>
      <w:r w:rsidRPr="00A21F62">
        <w:rPr>
          <w:rFonts w:ascii="Arial" w:hAnsi="Arial" w:cs="Arial"/>
          <w:lang w:val="en-GB"/>
        </w:rPr>
        <w:t>- Author’s ORCID identifier (If you don't have an ORCID number yet, you can create one via https://orcid.org/ - the process only takes 5 minutes and is really straightforward)</w:t>
      </w:r>
    </w:p>
    <w:p w:rsidR="00A24DB3" w:rsidRPr="00A21F62" w:rsidRDefault="00A24DB3" w:rsidP="00124B2F">
      <w:pPr>
        <w:shd w:val="clear" w:color="auto" w:fill="FFFFFF"/>
        <w:ind w:left="567"/>
        <w:jc w:val="both"/>
        <w:rPr>
          <w:rFonts w:ascii="Arial" w:hAnsi="Arial" w:cs="Arial"/>
          <w:lang w:val="en-GB"/>
        </w:rPr>
      </w:pPr>
      <w:r w:rsidRPr="00A21F62">
        <w:rPr>
          <w:rFonts w:ascii="Arial" w:hAnsi="Arial" w:cs="Arial"/>
          <w:lang w:val="en-GB"/>
        </w:rPr>
        <w:t xml:space="preserve">- Abstract (no longer than 10 lines of text) </w:t>
      </w:r>
    </w:p>
    <w:p w:rsidR="00A24DB3" w:rsidRPr="00A21F62" w:rsidRDefault="00A24DB3" w:rsidP="00124B2F">
      <w:pPr>
        <w:shd w:val="clear" w:color="auto" w:fill="FFFFFF"/>
        <w:ind w:left="567"/>
        <w:jc w:val="both"/>
        <w:rPr>
          <w:rFonts w:ascii="Arial" w:hAnsi="Arial" w:cs="Arial"/>
          <w:lang w:val="en-GB"/>
        </w:rPr>
      </w:pPr>
      <w:r w:rsidRPr="00A21F62">
        <w:rPr>
          <w:rFonts w:ascii="Arial" w:hAnsi="Arial" w:cs="Arial"/>
          <w:lang w:val="en-GB"/>
        </w:rPr>
        <w:t>- Keywords</w:t>
      </w:r>
    </w:p>
    <w:p w:rsidR="00A24DB3" w:rsidRDefault="00A24DB3" w:rsidP="00124B2F">
      <w:pPr>
        <w:shd w:val="clear" w:color="auto" w:fill="FFFFFF"/>
        <w:ind w:left="567"/>
        <w:jc w:val="both"/>
        <w:rPr>
          <w:rFonts w:ascii="Arial" w:hAnsi="Arial" w:cs="Arial"/>
          <w:lang w:val="en-GB"/>
        </w:rPr>
      </w:pPr>
      <w:r w:rsidRPr="00A21F62">
        <w:rPr>
          <w:rFonts w:ascii="Arial" w:hAnsi="Arial" w:cs="Arial"/>
          <w:lang w:val="en-GB"/>
        </w:rPr>
        <w:t>- Own text (which will contain</w:t>
      </w:r>
      <w:r w:rsidR="008D7181">
        <w:rPr>
          <w:rFonts w:ascii="Arial" w:hAnsi="Arial" w:cs="Arial"/>
          <w:lang w:val="en-GB"/>
        </w:rPr>
        <w:t xml:space="preserve"> introduction and conclusion)</w:t>
      </w:r>
    </w:p>
    <w:p w:rsidR="006065E2" w:rsidRDefault="006065E2" w:rsidP="00124B2F">
      <w:pPr>
        <w:shd w:val="clear" w:color="auto" w:fill="FFFFFF"/>
        <w:ind w:left="567"/>
        <w:jc w:val="both"/>
        <w:rPr>
          <w:rFonts w:ascii="Arial" w:hAnsi="Arial" w:cs="Arial"/>
          <w:lang w:val="en-GB"/>
        </w:rPr>
      </w:pPr>
      <w:r>
        <w:rPr>
          <w:rFonts w:ascii="Arial" w:hAnsi="Arial" w:cs="Arial"/>
          <w:lang w:val="en-GB"/>
        </w:rPr>
        <w:t xml:space="preserve">- References </w:t>
      </w:r>
    </w:p>
    <w:p w:rsidR="006065E2" w:rsidRPr="00A21F62" w:rsidRDefault="006065E2" w:rsidP="00124B2F">
      <w:pPr>
        <w:shd w:val="clear" w:color="auto" w:fill="FFFFFF"/>
        <w:ind w:left="567"/>
        <w:jc w:val="both"/>
        <w:rPr>
          <w:rFonts w:ascii="Arial" w:hAnsi="Arial" w:cs="Arial"/>
          <w:lang w:val="en-GB"/>
        </w:rPr>
      </w:pPr>
      <w:r>
        <w:rPr>
          <w:rFonts w:ascii="Arial" w:hAnsi="Arial" w:cs="Arial"/>
          <w:lang w:val="en-GB"/>
        </w:rPr>
        <w:t>- Author’s Bio</w:t>
      </w:r>
    </w:p>
    <w:p w:rsidR="00A24DB3" w:rsidRPr="00A21F62" w:rsidRDefault="00A24DB3" w:rsidP="008D7181">
      <w:pPr>
        <w:numPr>
          <w:ilvl w:val="0"/>
          <w:numId w:val="1"/>
        </w:numPr>
        <w:shd w:val="clear" w:color="auto" w:fill="FFFFFF"/>
        <w:spacing w:after="0" w:line="240" w:lineRule="auto"/>
        <w:ind w:left="567" w:hanging="567"/>
        <w:jc w:val="both"/>
        <w:rPr>
          <w:rFonts w:ascii="Arial" w:hAnsi="Arial" w:cs="Arial"/>
          <w:b/>
          <w:u w:val="single"/>
          <w:lang w:val="en-GB"/>
        </w:rPr>
      </w:pPr>
      <w:r w:rsidRPr="00A21F62">
        <w:rPr>
          <w:rFonts w:ascii="Arial" w:hAnsi="Arial" w:cs="Arial"/>
          <w:b/>
          <w:u w:val="single"/>
          <w:lang w:val="en-GB"/>
        </w:rPr>
        <w:t>The paper must be in *.doc or *.</w:t>
      </w:r>
      <w:proofErr w:type="spellStart"/>
      <w:r w:rsidRPr="00A21F62">
        <w:rPr>
          <w:rFonts w:ascii="Arial" w:hAnsi="Arial" w:cs="Arial"/>
          <w:b/>
          <w:u w:val="single"/>
          <w:lang w:val="en-GB"/>
        </w:rPr>
        <w:t>docx</w:t>
      </w:r>
      <w:proofErr w:type="spellEnd"/>
      <w:r w:rsidRPr="00A21F62">
        <w:rPr>
          <w:rFonts w:ascii="Arial" w:hAnsi="Arial" w:cs="Arial"/>
          <w:b/>
          <w:u w:val="single"/>
          <w:lang w:val="en-GB"/>
        </w:rPr>
        <w:t xml:space="preserve"> format in the so-called plain text - please do not use styles!</w:t>
      </w:r>
    </w:p>
    <w:p w:rsidR="00124B2F" w:rsidRDefault="00124B2F" w:rsidP="00A24DB3">
      <w:pPr>
        <w:spacing w:after="0"/>
        <w:ind w:left="142" w:right="-16"/>
        <w:jc w:val="center"/>
        <w:rPr>
          <w:rFonts w:ascii="Arial" w:hAnsi="Arial" w:cs="Arial"/>
          <w:b/>
          <w:lang w:val="en-GB"/>
        </w:rPr>
      </w:pPr>
    </w:p>
    <w:p w:rsidR="008D7181" w:rsidRDefault="008D7181" w:rsidP="00A24DB3">
      <w:pPr>
        <w:spacing w:after="0"/>
        <w:ind w:left="142" w:right="-16"/>
        <w:jc w:val="center"/>
        <w:rPr>
          <w:rFonts w:ascii="Arial" w:hAnsi="Arial" w:cs="Arial"/>
          <w:b/>
          <w:lang w:val="en-GB"/>
        </w:rPr>
      </w:pPr>
    </w:p>
    <w:p w:rsidR="00A24DB3" w:rsidRPr="00A21F62" w:rsidRDefault="00A24DB3" w:rsidP="00A24DB3">
      <w:pPr>
        <w:spacing w:after="0"/>
        <w:ind w:left="142" w:right="-16"/>
        <w:jc w:val="center"/>
        <w:rPr>
          <w:rFonts w:ascii="Arial" w:hAnsi="Arial" w:cs="Arial"/>
          <w:b/>
          <w:lang w:val="en-GB"/>
        </w:rPr>
        <w:sectPr w:rsidR="00A24DB3" w:rsidRPr="00A21F62" w:rsidSect="00242928">
          <w:headerReference w:type="even" r:id="rId8"/>
          <w:headerReference w:type="default" r:id="rId9"/>
          <w:footerReference w:type="even" r:id="rId10"/>
          <w:footerReference w:type="default" r:id="rId11"/>
          <w:headerReference w:type="first" r:id="rId12"/>
          <w:footerReference w:type="first" r:id="rId13"/>
          <w:pgSz w:w="11906" w:h="16838"/>
          <w:pgMar w:top="0" w:right="849" w:bottom="284" w:left="993" w:header="708" w:footer="708" w:gutter="0"/>
          <w:cols w:space="708"/>
          <w:docGrid w:linePitch="360"/>
        </w:sectPr>
      </w:pPr>
      <w:r w:rsidRPr="00A21F62">
        <w:rPr>
          <w:rFonts w:ascii="Arial" w:hAnsi="Arial" w:cs="Arial"/>
          <w:b/>
          <w:lang w:val="en-GB"/>
        </w:rPr>
        <w:t>In a case the paper does not comply with these instructions, exceeds the permitted length or</w:t>
      </w:r>
      <w:r w:rsidR="00B70A32">
        <w:rPr>
          <w:rFonts w:ascii="Arial" w:hAnsi="Arial" w:cs="Arial"/>
          <w:b/>
          <w:lang w:val="en-GB"/>
        </w:rPr>
        <w:t> </w:t>
      </w:r>
      <w:r w:rsidRPr="00A21F62">
        <w:rPr>
          <w:rFonts w:ascii="Arial" w:hAnsi="Arial" w:cs="Arial"/>
          <w:b/>
          <w:lang w:val="en-GB"/>
        </w:rPr>
        <w:t xml:space="preserve">the note-taking apparatus does not correspond to the attached citation template, the paper will not be published in the proceedings. </w:t>
      </w:r>
    </w:p>
    <w:p w:rsidR="00A24DB3" w:rsidRPr="00A21F62" w:rsidRDefault="00A24DB3" w:rsidP="00A24DB3">
      <w:pPr>
        <w:pBdr>
          <w:bottom w:val="single" w:sz="4" w:space="1" w:color="auto"/>
        </w:pBdr>
        <w:spacing w:before="120"/>
        <w:jc w:val="both"/>
        <w:rPr>
          <w:rFonts w:ascii="Arial" w:hAnsi="Arial" w:cs="Arial"/>
          <w:b/>
          <w:bCs/>
          <w:sz w:val="28"/>
          <w:szCs w:val="28"/>
          <w:lang w:val="en-GB"/>
        </w:rPr>
      </w:pPr>
      <w:r w:rsidRPr="00A21F62">
        <w:rPr>
          <w:rFonts w:ascii="Arial" w:hAnsi="Arial" w:cs="Arial"/>
          <w:b/>
          <w:bCs/>
          <w:sz w:val="28"/>
          <w:szCs w:val="28"/>
          <w:lang w:val="en-GB"/>
        </w:rPr>
        <w:lastRenderedPageBreak/>
        <w:t>Quotation for Note-Taking Apparatus</w:t>
      </w:r>
    </w:p>
    <w:p w:rsidR="00A24DB3" w:rsidRPr="00A21F62" w:rsidRDefault="00A24DB3" w:rsidP="00A24DB3">
      <w:pPr>
        <w:spacing w:before="120"/>
        <w:jc w:val="both"/>
        <w:rPr>
          <w:rFonts w:ascii="Arial" w:hAnsi="Arial" w:cs="Arial"/>
          <w:b/>
          <w:sz w:val="6"/>
          <w:szCs w:val="24"/>
          <w:lang w:val="en-GB"/>
        </w:rPr>
      </w:pPr>
    </w:p>
    <w:p w:rsidR="00A24DB3" w:rsidRPr="00A21F62" w:rsidRDefault="00A24DB3" w:rsidP="001466AC">
      <w:pPr>
        <w:jc w:val="both"/>
        <w:rPr>
          <w:rFonts w:ascii="Arial" w:hAnsi="Arial" w:cs="Arial"/>
          <w:lang w:val="en-GB"/>
        </w:rPr>
      </w:pPr>
      <w:r w:rsidRPr="00A21F62">
        <w:rPr>
          <w:rFonts w:ascii="Arial" w:hAnsi="Arial" w:cs="Arial"/>
          <w:b/>
          <w:bCs/>
          <w:lang w:val="en-GB"/>
        </w:rPr>
        <w:t>Monography</w:t>
      </w:r>
      <w:r w:rsidRPr="00A21F62">
        <w:rPr>
          <w:rFonts w:ascii="Arial" w:hAnsi="Arial" w:cs="Arial"/>
          <w:lang w:val="en-GB"/>
        </w:rPr>
        <w:t xml:space="preserve">: </w:t>
      </w:r>
      <w:r w:rsidRPr="00A21F62">
        <w:rPr>
          <w:rFonts w:ascii="Arial" w:hAnsi="Arial" w:cs="Arial"/>
          <w:lang w:val="en-GB"/>
        </w:rPr>
        <w:br/>
        <w:t xml:space="preserve">VOJÁČEK, </w:t>
      </w:r>
      <w:proofErr w:type="spellStart"/>
      <w:r w:rsidRPr="00A21F62">
        <w:rPr>
          <w:rFonts w:ascii="Arial" w:hAnsi="Arial" w:cs="Arial"/>
          <w:lang w:val="en-GB"/>
        </w:rPr>
        <w:t>Ladislav</w:t>
      </w:r>
      <w:proofErr w:type="spellEnd"/>
      <w:r w:rsidRPr="00A21F62">
        <w:rPr>
          <w:rFonts w:ascii="Arial" w:hAnsi="Arial" w:cs="Arial"/>
          <w:lang w:val="en-GB"/>
        </w:rPr>
        <w:t xml:space="preserve">, SCHELLE, Karel and </w:t>
      </w:r>
      <w:proofErr w:type="spellStart"/>
      <w:r w:rsidRPr="00A21F62">
        <w:rPr>
          <w:rFonts w:ascii="Arial" w:hAnsi="Arial" w:cs="Arial"/>
          <w:lang w:val="en-GB"/>
        </w:rPr>
        <w:t>Jaromír</w:t>
      </w:r>
      <w:proofErr w:type="spellEnd"/>
      <w:r w:rsidRPr="00A21F62">
        <w:rPr>
          <w:rFonts w:ascii="Arial" w:hAnsi="Arial" w:cs="Arial"/>
          <w:lang w:val="en-GB"/>
        </w:rPr>
        <w:t xml:space="preserve"> TAUCHEN. </w:t>
      </w:r>
      <w:r w:rsidRPr="00A21F62">
        <w:rPr>
          <w:rFonts w:ascii="Arial" w:hAnsi="Arial" w:cs="Arial"/>
          <w:i/>
          <w:iCs/>
          <w:lang w:val="en-GB"/>
        </w:rPr>
        <w:t>An Introduction to History of Czech Private Law</w:t>
      </w:r>
      <w:r w:rsidRPr="00A21F62">
        <w:rPr>
          <w:rFonts w:ascii="Arial" w:hAnsi="Arial" w:cs="Arial"/>
          <w:lang w:val="en-GB"/>
        </w:rPr>
        <w:t>. Brno: Masaryk University, 2011, p. 135.</w:t>
      </w:r>
    </w:p>
    <w:p w:rsidR="00A24DB3" w:rsidRPr="00A21F62" w:rsidRDefault="00A24DB3" w:rsidP="001466AC">
      <w:pPr>
        <w:jc w:val="both"/>
        <w:rPr>
          <w:rFonts w:ascii="Arial" w:hAnsi="Arial" w:cs="Arial"/>
          <w:lang w:val="de-DE"/>
        </w:rPr>
      </w:pPr>
      <w:r w:rsidRPr="00A21F62">
        <w:rPr>
          <w:rFonts w:ascii="Arial" w:hAnsi="Arial" w:cs="Arial"/>
          <w:lang w:val="de-DE"/>
        </w:rPr>
        <w:t xml:space="preserve">SCHELLE, Karel </w:t>
      </w:r>
      <w:proofErr w:type="spellStart"/>
      <w:r w:rsidRPr="00A21F62">
        <w:rPr>
          <w:rFonts w:ascii="Arial" w:hAnsi="Arial" w:cs="Arial"/>
          <w:lang w:val="de-DE"/>
        </w:rPr>
        <w:t>and</w:t>
      </w:r>
      <w:proofErr w:type="spellEnd"/>
      <w:r w:rsidRPr="00A21F62">
        <w:rPr>
          <w:rFonts w:ascii="Arial" w:hAnsi="Arial" w:cs="Arial"/>
          <w:lang w:val="de-DE"/>
        </w:rPr>
        <w:t xml:space="preserve"> </w:t>
      </w:r>
      <w:proofErr w:type="spellStart"/>
      <w:r w:rsidRPr="00A21F62">
        <w:rPr>
          <w:rFonts w:ascii="Arial" w:hAnsi="Arial" w:cs="Arial"/>
          <w:lang w:val="de-DE"/>
        </w:rPr>
        <w:t>Jaromír</w:t>
      </w:r>
      <w:proofErr w:type="spellEnd"/>
      <w:r w:rsidRPr="00A21F62">
        <w:rPr>
          <w:rFonts w:ascii="Arial" w:hAnsi="Arial" w:cs="Arial"/>
          <w:lang w:val="de-DE"/>
        </w:rPr>
        <w:t xml:space="preserve"> TAUCHEN. </w:t>
      </w:r>
      <w:r w:rsidRPr="00A21F62">
        <w:rPr>
          <w:rFonts w:ascii="Arial" w:hAnsi="Arial" w:cs="Arial"/>
          <w:i/>
          <w:iCs/>
          <w:lang w:val="de-DE"/>
        </w:rPr>
        <w:t>Grundriss der Tschechoslowakischen Rechtsgeschichte</w:t>
      </w:r>
      <w:r w:rsidRPr="00A21F62">
        <w:rPr>
          <w:rFonts w:ascii="Arial" w:hAnsi="Arial" w:cs="Arial"/>
          <w:lang w:val="de-DE"/>
        </w:rPr>
        <w:t>. München: Verlag Dr. Hut, 2009, p. 124.</w:t>
      </w:r>
    </w:p>
    <w:p w:rsidR="001466AC" w:rsidRDefault="001466AC" w:rsidP="001466AC">
      <w:pPr>
        <w:jc w:val="both"/>
        <w:rPr>
          <w:rFonts w:ascii="Arial" w:hAnsi="Arial" w:cs="Arial"/>
          <w:b/>
          <w:bCs/>
          <w:lang w:val="en-GB"/>
        </w:rPr>
      </w:pPr>
      <w:r>
        <w:rPr>
          <w:rFonts w:ascii="Arial" w:hAnsi="Arial" w:cs="Arial"/>
          <w:b/>
          <w:bCs/>
          <w:lang w:val="en-GB"/>
        </w:rPr>
        <w:t>Conference proceedings paper:</w:t>
      </w:r>
    </w:p>
    <w:p w:rsidR="00A24DB3" w:rsidRPr="001466AC" w:rsidRDefault="00A24DB3" w:rsidP="001466AC">
      <w:pPr>
        <w:jc w:val="both"/>
        <w:rPr>
          <w:rFonts w:ascii="Arial" w:hAnsi="Arial" w:cs="Arial"/>
          <w:b/>
          <w:bCs/>
          <w:lang w:val="en-GB"/>
        </w:rPr>
      </w:pPr>
      <w:r w:rsidRPr="00A21F62">
        <w:rPr>
          <w:rFonts w:ascii="Arial" w:hAnsi="Arial" w:cs="Arial"/>
          <w:lang w:val="en-GB"/>
        </w:rPr>
        <w:t xml:space="preserve">TAUCHEN, </w:t>
      </w:r>
      <w:proofErr w:type="spellStart"/>
      <w:r w:rsidRPr="00A21F62">
        <w:rPr>
          <w:rFonts w:ascii="Arial" w:hAnsi="Arial" w:cs="Arial"/>
          <w:lang w:val="en-GB"/>
        </w:rPr>
        <w:t>Jaromír</w:t>
      </w:r>
      <w:proofErr w:type="spellEnd"/>
      <w:r w:rsidRPr="00A21F62">
        <w:rPr>
          <w:rFonts w:ascii="Arial" w:hAnsi="Arial" w:cs="Arial"/>
          <w:lang w:val="en-GB"/>
        </w:rPr>
        <w:t xml:space="preserve">. Law in the Protectorate of Bohemia and Moravia. In: </w:t>
      </w:r>
      <w:r w:rsidRPr="00A21F62">
        <w:rPr>
          <w:rFonts w:ascii="Arial" w:hAnsi="Arial" w:cs="Arial"/>
          <w:i/>
          <w:iCs/>
          <w:lang w:val="en-GB"/>
        </w:rPr>
        <w:t>Plundered, But By Whom? Protectorate of Bohemia and Moravia and Occupied Europe in the Light of the Nazi-Art Looting</w:t>
      </w:r>
      <w:r w:rsidRPr="00A21F62">
        <w:rPr>
          <w:rFonts w:ascii="Arial" w:hAnsi="Arial" w:cs="Arial"/>
          <w:lang w:val="en-GB"/>
        </w:rPr>
        <w:t xml:space="preserve">. Prague: Documentation Centre for Property Transfers of Cultural Assets of World War II Victims, </w:t>
      </w:r>
      <w:proofErr w:type="spellStart"/>
      <w:r w:rsidRPr="00A21F62">
        <w:rPr>
          <w:rFonts w:ascii="Arial" w:hAnsi="Arial" w:cs="Arial"/>
          <w:lang w:val="en-GB"/>
        </w:rPr>
        <w:t>p.b.o</w:t>
      </w:r>
      <w:proofErr w:type="spellEnd"/>
      <w:r w:rsidRPr="00A21F62">
        <w:rPr>
          <w:rFonts w:ascii="Arial" w:hAnsi="Arial" w:cs="Arial"/>
          <w:lang w:val="en-GB"/>
        </w:rPr>
        <w:t xml:space="preserve">., 2015, p. 43–56.   </w:t>
      </w:r>
    </w:p>
    <w:p w:rsidR="00A24DB3" w:rsidRPr="00A21F62" w:rsidRDefault="00A24DB3" w:rsidP="001466AC">
      <w:pPr>
        <w:jc w:val="both"/>
        <w:rPr>
          <w:rFonts w:ascii="Arial" w:hAnsi="Arial" w:cs="Arial"/>
          <w:lang w:val="de-DE"/>
        </w:rPr>
      </w:pPr>
      <w:r w:rsidRPr="00A21F62">
        <w:rPr>
          <w:rFonts w:ascii="Arial" w:hAnsi="Arial" w:cs="Arial"/>
          <w:lang w:val="de-DE"/>
        </w:rPr>
        <w:t xml:space="preserve">TAUCHEN, </w:t>
      </w:r>
      <w:proofErr w:type="spellStart"/>
      <w:r w:rsidRPr="00A21F62">
        <w:rPr>
          <w:rFonts w:ascii="Arial" w:hAnsi="Arial" w:cs="Arial"/>
          <w:lang w:val="de-DE"/>
        </w:rPr>
        <w:t>Jaromír</w:t>
      </w:r>
      <w:proofErr w:type="spellEnd"/>
      <w:r w:rsidRPr="00A21F62">
        <w:rPr>
          <w:rFonts w:ascii="Arial" w:hAnsi="Arial" w:cs="Arial"/>
          <w:lang w:val="de-DE"/>
        </w:rPr>
        <w:t xml:space="preserve">. Laiengerichtsbarkeit in der Tschechoslowakei (1918–1989). In: Kohl, Gerald </w:t>
      </w:r>
      <w:proofErr w:type="spellStart"/>
      <w:r w:rsidRPr="00A21F62">
        <w:rPr>
          <w:rFonts w:ascii="Arial" w:hAnsi="Arial" w:cs="Arial"/>
          <w:lang w:val="de-DE"/>
        </w:rPr>
        <w:t>and</w:t>
      </w:r>
      <w:proofErr w:type="spellEnd"/>
      <w:r w:rsidRPr="00A21F62">
        <w:rPr>
          <w:rFonts w:ascii="Arial" w:hAnsi="Arial" w:cs="Arial"/>
          <w:lang w:val="de-DE"/>
        </w:rPr>
        <w:t xml:space="preserve"> Ilse Reiter-</w:t>
      </w:r>
      <w:proofErr w:type="spellStart"/>
      <w:r w:rsidRPr="00A21F62">
        <w:rPr>
          <w:rFonts w:ascii="Arial" w:hAnsi="Arial" w:cs="Arial"/>
          <w:lang w:val="de-DE"/>
        </w:rPr>
        <w:t>Zatloukal</w:t>
      </w:r>
      <w:proofErr w:type="spellEnd"/>
      <w:r w:rsidRPr="00A21F62">
        <w:rPr>
          <w:rFonts w:ascii="Arial" w:hAnsi="Arial" w:cs="Arial"/>
          <w:lang w:val="de-DE"/>
        </w:rPr>
        <w:t xml:space="preserve"> (</w:t>
      </w:r>
      <w:proofErr w:type="spellStart"/>
      <w:r w:rsidRPr="00A21F62">
        <w:rPr>
          <w:rFonts w:ascii="Arial" w:hAnsi="Arial" w:cs="Arial"/>
          <w:lang w:val="de-DE"/>
        </w:rPr>
        <w:t>eds</w:t>
      </w:r>
      <w:proofErr w:type="spellEnd"/>
      <w:r w:rsidRPr="00A21F62">
        <w:rPr>
          <w:rFonts w:ascii="Arial" w:hAnsi="Arial" w:cs="Arial"/>
          <w:lang w:val="de-DE"/>
        </w:rPr>
        <w:t xml:space="preserve">.). </w:t>
      </w:r>
      <w:r w:rsidRPr="00A21F62">
        <w:rPr>
          <w:rFonts w:ascii="Arial" w:hAnsi="Arial" w:cs="Arial"/>
          <w:i/>
          <w:iCs/>
          <w:lang w:val="de-DE"/>
        </w:rPr>
        <w:t>Laien in der Gerichtsbarkeit. Geschichte und aktuelle Perspektiven</w:t>
      </w:r>
      <w:r w:rsidRPr="00A21F62">
        <w:rPr>
          <w:rFonts w:ascii="Arial" w:hAnsi="Arial" w:cs="Arial"/>
          <w:lang w:val="de-DE"/>
        </w:rPr>
        <w:t>. Wien: Verlag Österreich, 2019, p. 341–361.</w:t>
      </w:r>
    </w:p>
    <w:p w:rsidR="00A24DB3" w:rsidRDefault="00A24DB3" w:rsidP="001466AC">
      <w:pPr>
        <w:jc w:val="both"/>
        <w:rPr>
          <w:rFonts w:ascii="Arial" w:hAnsi="Arial" w:cs="Arial"/>
          <w:lang w:val="en-GB"/>
        </w:rPr>
      </w:pPr>
      <w:proofErr w:type="spellStart"/>
      <w:r w:rsidRPr="00A21F62">
        <w:rPr>
          <w:rFonts w:ascii="Arial" w:hAnsi="Arial" w:cs="Arial"/>
          <w:b/>
          <w:bCs/>
          <w:lang w:val="de-DE"/>
        </w:rPr>
        <w:t>Article</w:t>
      </w:r>
      <w:proofErr w:type="spellEnd"/>
      <w:r w:rsidRPr="00A21F62">
        <w:rPr>
          <w:rFonts w:ascii="Arial" w:hAnsi="Arial" w:cs="Arial"/>
          <w:b/>
          <w:bCs/>
          <w:lang w:val="de-DE"/>
        </w:rPr>
        <w:t>:</w:t>
      </w:r>
      <w:r w:rsidRPr="00A21F62">
        <w:rPr>
          <w:rFonts w:ascii="Arial" w:hAnsi="Arial" w:cs="Arial"/>
          <w:b/>
          <w:bCs/>
          <w:lang w:val="de-DE"/>
        </w:rPr>
        <w:br/>
      </w:r>
      <w:r w:rsidRPr="00A21F62">
        <w:rPr>
          <w:rFonts w:ascii="Arial" w:hAnsi="Arial" w:cs="Arial"/>
          <w:lang w:val="de-DE"/>
        </w:rPr>
        <w:t xml:space="preserve">TAUCHEN, </w:t>
      </w:r>
      <w:proofErr w:type="spellStart"/>
      <w:r w:rsidRPr="00A21F62">
        <w:rPr>
          <w:rFonts w:ascii="Arial" w:hAnsi="Arial" w:cs="Arial"/>
          <w:lang w:val="de-DE"/>
        </w:rPr>
        <w:t>Jaromír</w:t>
      </w:r>
      <w:proofErr w:type="spellEnd"/>
      <w:r w:rsidRPr="00A21F62">
        <w:rPr>
          <w:rFonts w:ascii="Arial" w:hAnsi="Arial" w:cs="Arial"/>
          <w:lang w:val="de-DE"/>
        </w:rPr>
        <w:t xml:space="preserve">. Das Handelsrecht und seine Entwicklung im Protektorat Böhmen und Mähren (1939–1945). </w:t>
      </w:r>
      <w:r w:rsidRPr="00A21F62">
        <w:rPr>
          <w:rFonts w:ascii="Arial" w:hAnsi="Arial" w:cs="Arial"/>
          <w:i/>
          <w:iCs/>
          <w:lang w:val="en-GB"/>
        </w:rPr>
        <w:t>Journal on European History of Law</w:t>
      </w:r>
      <w:r w:rsidRPr="00A21F62">
        <w:rPr>
          <w:rFonts w:ascii="Arial" w:hAnsi="Arial" w:cs="Arial"/>
          <w:lang w:val="en-GB"/>
        </w:rPr>
        <w:t>, 2021, Vol. 12, No. 1, p. 109–119.</w:t>
      </w:r>
    </w:p>
    <w:p w:rsidR="00B70A32" w:rsidRPr="00B70A32" w:rsidRDefault="00B70A32" w:rsidP="001466AC">
      <w:pPr>
        <w:jc w:val="both"/>
        <w:rPr>
          <w:rFonts w:ascii="Arial" w:hAnsi="Arial" w:cs="Arial"/>
          <w:b/>
          <w:lang w:val="en-GB"/>
        </w:rPr>
      </w:pPr>
      <w:proofErr w:type="spellStart"/>
      <w:r w:rsidRPr="00B70A32">
        <w:rPr>
          <w:rFonts w:ascii="Arial" w:hAnsi="Arial" w:cs="Arial"/>
          <w:b/>
          <w:lang w:val="en-GB"/>
        </w:rPr>
        <w:t>Digesta</w:t>
      </w:r>
      <w:proofErr w:type="spellEnd"/>
      <w:r w:rsidRPr="00B70A32">
        <w:rPr>
          <w:rFonts w:ascii="Arial" w:hAnsi="Arial" w:cs="Arial"/>
          <w:b/>
          <w:lang w:val="en-GB"/>
        </w:rPr>
        <w:t>:</w:t>
      </w:r>
    </w:p>
    <w:p w:rsidR="00B70A32" w:rsidRPr="00B70A32" w:rsidRDefault="00B70A32" w:rsidP="00B70A32">
      <w:pPr>
        <w:jc w:val="both"/>
        <w:rPr>
          <w:rFonts w:ascii="Arial" w:hAnsi="Arial" w:cs="Arial"/>
          <w:lang w:val="fr-FR"/>
        </w:rPr>
      </w:pPr>
      <w:r w:rsidRPr="00B70A32">
        <w:rPr>
          <w:rFonts w:ascii="Arial" w:hAnsi="Arial" w:cs="Arial"/>
          <w:lang w:val="fr-FR"/>
        </w:rPr>
        <w:t>D.50.17.202 - ‘</w:t>
      </w:r>
      <w:r w:rsidRPr="00B70A32">
        <w:rPr>
          <w:rFonts w:ascii="Arial" w:hAnsi="Arial" w:cs="Arial"/>
          <w:i/>
          <w:iCs/>
          <w:lang w:val="fr-FR"/>
        </w:rPr>
        <w:t>Omnis definitio in iure civili periculosa est: parum est enim, ut non subverti posset</w:t>
      </w:r>
      <w:r w:rsidRPr="00B70A32">
        <w:rPr>
          <w:rFonts w:ascii="Arial" w:hAnsi="Arial" w:cs="Arial"/>
          <w:lang w:val="fr-FR"/>
        </w:rPr>
        <w:t>.’ (c. f. https://www.thelatinlibrary.com/justinian/digest50.shtml).</w:t>
      </w:r>
    </w:p>
    <w:p w:rsidR="00B70A32" w:rsidRDefault="00B70A32" w:rsidP="001466AC">
      <w:pPr>
        <w:jc w:val="both"/>
        <w:rPr>
          <w:rFonts w:ascii="Arial" w:hAnsi="Arial" w:cs="Arial"/>
          <w:b/>
          <w:lang w:val="fr-FR"/>
        </w:rPr>
      </w:pPr>
      <w:r w:rsidRPr="00B70A32">
        <w:rPr>
          <w:rFonts w:ascii="Arial" w:hAnsi="Arial" w:cs="Arial"/>
          <w:b/>
          <w:lang w:val="fr-FR"/>
        </w:rPr>
        <w:t>URL :</w:t>
      </w:r>
    </w:p>
    <w:p w:rsidR="00B70A32" w:rsidRPr="00D91514" w:rsidRDefault="00D91514" w:rsidP="001466AC">
      <w:pPr>
        <w:jc w:val="both"/>
        <w:rPr>
          <w:rFonts w:ascii="Arial" w:hAnsi="Arial" w:cs="Arial"/>
          <w:lang w:val="fr-FR"/>
        </w:rPr>
      </w:pPr>
      <w:r w:rsidRPr="00D91514">
        <w:rPr>
          <w:rFonts w:ascii="Arial" w:hAnsi="Arial" w:cs="Arial"/>
          <w:lang w:val="en-GB"/>
        </w:rPr>
        <w:t xml:space="preserve">SCHEPERS, E. The vanguard vs. the mass organization [online]. </w:t>
      </w:r>
      <w:r w:rsidRPr="00D91514">
        <w:rPr>
          <w:rFonts w:ascii="Arial" w:hAnsi="Arial" w:cs="Arial"/>
          <w:i/>
          <w:iCs/>
          <w:lang w:val="en-GB"/>
        </w:rPr>
        <w:t xml:space="preserve">cpusa.org. </w:t>
      </w:r>
      <w:r w:rsidRPr="00D91514">
        <w:rPr>
          <w:rFonts w:ascii="Arial" w:hAnsi="Arial" w:cs="Arial"/>
          <w:lang w:val="en-GB"/>
        </w:rPr>
        <w:t>06–01–2024</w:t>
      </w:r>
      <w:r w:rsidRPr="00D91514">
        <w:rPr>
          <w:rFonts w:ascii="Arial" w:hAnsi="Arial" w:cs="Arial"/>
          <w:i/>
          <w:iCs/>
          <w:lang w:val="en-GB"/>
        </w:rPr>
        <w:t xml:space="preserve"> </w:t>
      </w:r>
      <w:r w:rsidRPr="00D91514">
        <w:rPr>
          <w:rFonts w:ascii="Arial" w:hAnsi="Arial" w:cs="Arial"/>
          <w:lang w:val="en-GB"/>
        </w:rPr>
        <w:t xml:space="preserve">[cit. 08–30–2024]. </w:t>
      </w:r>
      <w:hyperlink r:id="rId14" w:history="1">
        <w:r w:rsidRPr="00D91514">
          <w:rPr>
            <w:rStyle w:val="Hypertextovodkaz"/>
            <w:rFonts w:ascii="Arial" w:hAnsi="Arial" w:cs="Arial"/>
          </w:rPr>
          <w:t>https://www.cpusa.org/contribution/the-vanguard-vs-the-mass-organization/</w:t>
        </w:r>
      </w:hyperlink>
    </w:p>
    <w:p w:rsidR="00A24DB3" w:rsidRPr="00A21F62" w:rsidRDefault="00A24DB3" w:rsidP="001466AC">
      <w:pPr>
        <w:numPr>
          <w:ilvl w:val="0"/>
          <w:numId w:val="1"/>
        </w:numPr>
        <w:ind w:left="0" w:hanging="426"/>
        <w:jc w:val="both"/>
        <w:rPr>
          <w:rFonts w:ascii="Arial" w:hAnsi="Arial" w:cs="Arial"/>
          <w:lang w:val="en-GB"/>
        </w:rPr>
      </w:pPr>
      <w:r w:rsidRPr="00A21F62">
        <w:rPr>
          <w:rFonts w:ascii="Arial" w:hAnsi="Arial" w:cs="Arial"/>
          <w:lang w:val="en-GB"/>
        </w:rPr>
        <w:t xml:space="preserve">Archival sources will be referenced as it is common for the archive – preferably the name of the archive, fund (collection), carton or signature or inventory number (e. g. NA, </w:t>
      </w:r>
      <w:proofErr w:type="spellStart"/>
      <w:r w:rsidRPr="00A21F62">
        <w:rPr>
          <w:rFonts w:ascii="Arial" w:hAnsi="Arial" w:cs="Arial"/>
          <w:lang w:val="en-GB"/>
        </w:rPr>
        <w:t>Ministerstvo</w:t>
      </w:r>
      <w:proofErr w:type="spellEnd"/>
      <w:r w:rsidRPr="00A21F62">
        <w:rPr>
          <w:rFonts w:ascii="Arial" w:hAnsi="Arial" w:cs="Arial"/>
          <w:lang w:val="en-GB"/>
        </w:rPr>
        <w:t xml:space="preserve"> </w:t>
      </w:r>
      <w:proofErr w:type="spellStart"/>
      <w:r w:rsidRPr="00A21F62">
        <w:rPr>
          <w:rFonts w:ascii="Arial" w:hAnsi="Arial" w:cs="Arial"/>
          <w:lang w:val="en-GB"/>
        </w:rPr>
        <w:t>hospodářství</w:t>
      </w:r>
      <w:proofErr w:type="spellEnd"/>
      <w:r w:rsidRPr="00A21F62">
        <w:rPr>
          <w:rFonts w:ascii="Arial" w:hAnsi="Arial" w:cs="Arial"/>
          <w:lang w:val="en-GB"/>
        </w:rPr>
        <w:t xml:space="preserve"> a </w:t>
      </w:r>
      <w:proofErr w:type="spellStart"/>
      <w:r w:rsidRPr="00A21F62">
        <w:rPr>
          <w:rFonts w:ascii="Arial" w:hAnsi="Arial" w:cs="Arial"/>
          <w:lang w:val="en-GB"/>
        </w:rPr>
        <w:t>práce</w:t>
      </w:r>
      <w:proofErr w:type="spellEnd"/>
      <w:r w:rsidRPr="00A21F62">
        <w:rPr>
          <w:rFonts w:ascii="Arial" w:hAnsi="Arial" w:cs="Arial"/>
          <w:lang w:val="en-GB"/>
        </w:rPr>
        <w:t xml:space="preserve">, </w:t>
      </w:r>
      <w:proofErr w:type="spellStart"/>
      <w:r w:rsidRPr="00A21F62">
        <w:rPr>
          <w:rFonts w:ascii="Arial" w:hAnsi="Arial" w:cs="Arial"/>
          <w:lang w:val="en-GB"/>
        </w:rPr>
        <w:t>karton</w:t>
      </w:r>
      <w:proofErr w:type="spellEnd"/>
      <w:r w:rsidRPr="00A21F62">
        <w:rPr>
          <w:rFonts w:ascii="Arial" w:hAnsi="Arial" w:cs="Arial"/>
          <w:lang w:val="en-GB"/>
        </w:rPr>
        <w:t xml:space="preserve"> č. 125)</w:t>
      </w:r>
    </w:p>
    <w:p w:rsidR="00A24DB3" w:rsidRPr="00A21F62" w:rsidRDefault="00A24DB3" w:rsidP="001466AC">
      <w:pPr>
        <w:numPr>
          <w:ilvl w:val="0"/>
          <w:numId w:val="1"/>
        </w:numPr>
        <w:ind w:left="0" w:hanging="426"/>
        <w:jc w:val="both"/>
        <w:rPr>
          <w:rFonts w:ascii="Arial" w:hAnsi="Arial" w:cs="Arial"/>
          <w:lang w:val="en-GB"/>
        </w:rPr>
      </w:pPr>
      <w:r w:rsidRPr="00A21F62">
        <w:rPr>
          <w:rFonts w:ascii="Arial" w:hAnsi="Arial" w:cs="Arial"/>
          <w:lang w:val="en-GB"/>
        </w:rPr>
        <w:t>When specifying a page range, please use a hyphen (–) and do not in</w:t>
      </w:r>
      <w:r w:rsidR="009464E5">
        <w:rPr>
          <w:rFonts w:ascii="Arial" w:hAnsi="Arial" w:cs="Arial"/>
          <w:lang w:val="en-GB"/>
        </w:rPr>
        <w:t>sert a space before or after it.</w:t>
      </w:r>
    </w:p>
    <w:p w:rsidR="00A24DB3" w:rsidRPr="00A21F62" w:rsidRDefault="00A24DB3" w:rsidP="007B0F89">
      <w:pPr>
        <w:numPr>
          <w:ilvl w:val="0"/>
          <w:numId w:val="1"/>
        </w:numPr>
        <w:ind w:left="0" w:hanging="426"/>
        <w:rPr>
          <w:rFonts w:ascii="Arial" w:hAnsi="Arial" w:cs="Arial"/>
          <w:lang w:val="en-GB"/>
        </w:rPr>
      </w:pPr>
      <w:r w:rsidRPr="00A21F62">
        <w:rPr>
          <w:rFonts w:ascii="Arial" w:hAnsi="Arial" w:cs="Arial"/>
          <w:lang w:val="en-GB"/>
        </w:rPr>
        <w:t>Each footnote will start with a capital letter and end with a full stop.</w:t>
      </w:r>
    </w:p>
    <w:p w:rsidR="00A24DB3" w:rsidRPr="001E2852" w:rsidRDefault="00A24DB3" w:rsidP="007B0F89">
      <w:pPr>
        <w:numPr>
          <w:ilvl w:val="0"/>
          <w:numId w:val="1"/>
        </w:numPr>
        <w:ind w:left="0" w:hanging="426"/>
        <w:rPr>
          <w:rFonts w:ascii="Arial" w:hAnsi="Arial" w:cs="Arial"/>
          <w:lang w:val="en-GB"/>
        </w:rPr>
      </w:pPr>
      <w:r w:rsidRPr="00A21F62">
        <w:rPr>
          <w:rFonts w:ascii="Arial" w:hAnsi="Arial" w:cs="Arial"/>
          <w:lang w:val="en-GB"/>
        </w:rPr>
        <w:t>The footnote index will be after the punctuation mark (e. g. in this way.</w:t>
      </w:r>
      <w:r w:rsidRPr="00A21F62">
        <w:rPr>
          <w:rFonts w:ascii="Arial" w:hAnsi="Arial" w:cs="Arial"/>
          <w:vertAlign w:val="superscript"/>
          <w:lang w:val="en-GB"/>
        </w:rPr>
        <w:t>1</w:t>
      </w:r>
      <w:r w:rsidRPr="00A21F62">
        <w:rPr>
          <w:rFonts w:ascii="Arial" w:hAnsi="Arial" w:cs="Arial"/>
          <w:lang w:val="en-GB"/>
        </w:rPr>
        <w:t>)</w:t>
      </w:r>
    </w:p>
    <w:p w:rsidR="001E2852" w:rsidRPr="001E2852" w:rsidRDefault="00D91514" w:rsidP="001E2852">
      <w:pPr>
        <w:pBdr>
          <w:bottom w:val="single" w:sz="4" w:space="1" w:color="auto"/>
        </w:pBdr>
        <w:spacing w:before="120"/>
        <w:jc w:val="both"/>
        <w:rPr>
          <w:rFonts w:ascii="Arial" w:hAnsi="Arial" w:cs="Arial"/>
          <w:b/>
          <w:bCs/>
          <w:sz w:val="28"/>
          <w:szCs w:val="28"/>
          <w:lang w:val="en-GB"/>
        </w:rPr>
      </w:pPr>
      <w:r>
        <w:rPr>
          <w:rFonts w:ascii="Arial" w:hAnsi="Arial" w:cs="Arial"/>
          <w:b/>
          <w:bCs/>
          <w:sz w:val="28"/>
          <w:szCs w:val="28"/>
          <w:lang w:val="en-GB"/>
        </w:rPr>
        <w:br w:type="column"/>
      </w:r>
      <w:r w:rsidR="001E2852" w:rsidRPr="001E2852">
        <w:rPr>
          <w:rFonts w:ascii="Arial" w:hAnsi="Arial" w:cs="Arial"/>
          <w:b/>
          <w:bCs/>
          <w:sz w:val="28"/>
          <w:szCs w:val="28"/>
          <w:lang w:val="en-GB"/>
        </w:rPr>
        <w:lastRenderedPageBreak/>
        <w:t>References Sample</w:t>
      </w:r>
    </w:p>
    <w:p w:rsidR="001E2852" w:rsidRPr="00184401" w:rsidRDefault="001E2852" w:rsidP="001E2852">
      <w:pPr>
        <w:pStyle w:val="Normlnweb"/>
        <w:rPr>
          <w:rFonts w:ascii="Arial" w:hAnsi="Arial" w:cs="Arial"/>
          <w:b/>
          <w:color w:val="000000"/>
          <w:sz w:val="22"/>
          <w:szCs w:val="22"/>
        </w:rPr>
      </w:pPr>
      <w:proofErr w:type="spellStart"/>
      <w:r w:rsidRPr="00184401">
        <w:rPr>
          <w:rFonts w:ascii="Arial" w:hAnsi="Arial" w:cs="Arial"/>
          <w:b/>
          <w:color w:val="000000"/>
          <w:sz w:val="22"/>
          <w:szCs w:val="22"/>
        </w:rPr>
        <w:t>References</w:t>
      </w:r>
      <w:proofErr w:type="spellEnd"/>
    </w:p>
    <w:p w:rsidR="001E2852" w:rsidRPr="00761C0C" w:rsidRDefault="001E2852" w:rsidP="00761C0C">
      <w:pPr>
        <w:pStyle w:val="Normlnweb"/>
        <w:jc w:val="both"/>
        <w:rPr>
          <w:rFonts w:ascii="Arial" w:hAnsi="Arial" w:cs="Arial"/>
          <w:color w:val="000000"/>
          <w:sz w:val="22"/>
          <w:szCs w:val="22"/>
        </w:rPr>
      </w:pPr>
      <w:r w:rsidRPr="00761C0C">
        <w:rPr>
          <w:rFonts w:ascii="Arial" w:hAnsi="Arial" w:cs="Arial"/>
          <w:color w:val="000000"/>
          <w:sz w:val="22"/>
          <w:szCs w:val="22"/>
        </w:rPr>
        <w:t xml:space="preserve">BECHMANN, A. </w:t>
      </w:r>
      <w:proofErr w:type="spellStart"/>
      <w:r w:rsidRPr="00761C0C">
        <w:rPr>
          <w:rFonts w:ascii="Arial" w:hAnsi="Arial" w:cs="Arial"/>
          <w:i/>
          <w:color w:val="000000"/>
          <w:sz w:val="22"/>
          <w:szCs w:val="22"/>
        </w:rPr>
        <w:t>Das</w:t>
      </w:r>
      <w:proofErr w:type="spellEnd"/>
      <w:r w:rsidRPr="00761C0C">
        <w:rPr>
          <w:rFonts w:ascii="Arial" w:hAnsi="Arial" w:cs="Arial"/>
          <w:i/>
          <w:color w:val="000000"/>
          <w:sz w:val="22"/>
          <w:szCs w:val="22"/>
        </w:rPr>
        <w:t xml:space="preserve"> </w:t>
      </w:r>
      <w:proofErr w:type="spellStart"/>
      <w:r w:rsidRPr="00761C0C">
        <w:rPr>
          <w:rFonts w:ascii="Arial" w:hAnsi="Arial" w:cs="Arial"/>
          <w:i/>
          <w:color w:val="000000"/>
          <w:sz w:val="22"/>
          <w:szCs w:val="22"/>
        </w:rPr>
        <w:t>römische</w:t>
      </w:r>
      <w:proofErr w:type="spellEnd"/>
      <w:r w:rsidRPr="00761C0C">
        <w:rPr>
          <w:rFonts w:ascii="Arial" w:hAnsi="Arial" w:cs="Arial"/>
          <w:i/>
          <w:color w:val="000000"/>
          <w:sz w:val="22"/>
          <w:szCs w:val="22"/>
        </w:rPr>
        <w:t xml:space="preserve"> </w:t>
      </w:r>
      <w:proofErr w:type="spellStart"/>
      <w:r w:rsidRPr="00761C0C">
        <w:rPr>
          <w:rFonts w:ascii="Arial" w:hAnsi="Arial" w:cs="Arial"/>
          <w:i/>
          <w:color w:val="000000"/>
          <w:sz w:val="22"/>
          <w:szCs w:val="22"/>
        </w:rPr>
        <w:t>Dotalrecht</w:t>
      </w:r>
      <w:proofErr w:type="spellEnd"/>
      <w:r w:rsidRPr="00761C0C">
        <w:rPr>
          <w:rFonts w:ascii="Arial" w:hAnsi="Arial" w:cs="Arial"/>
          <w:i/>
          <w:color w:val="000000"/>
          <w:sz w:val="22"/>
          <w:szCs w:val="22"/>
        </w:rPr>
        <w:t xml:space="preserve"> I</w:t>
      </w:r>
      <w:r w:rsidRPr="00761C0C">
        <w:rPr>
          <w:rFonts w:ascii="Arial" w:hAnsi="Arial" w:cs="Arial"/>
          <w:color w:val="000000"/>
          <w:sz w:val="22"/>
          <w:szCs w:val="22"/>
        </w:rPr>
        <w:t xml:space="preserve">. </w:t>
      </w:r>
      <w:proofErr w:type="spellStart"/>
      <w:r w:rsidRPr="00761C0C">
        <w:rPr>
          <w:rFonts w:ascii="Arial" w:hAnsi="Arial" w:cs="Arial"/>
          <w:color w:val="000000"/>
          <w:sz w:val="22"/>
          <w:szCs w:val="22"/>
        </w:rPr>
        <w:t>Erlangen</w:t>
      </w:r>
      <w:proofErr w:type="spellEnd"/>
      <w:r w:rsidRPr="00761C0C">
        <w:rPr>
          <w:rFonts w:ascii="Arial" w:hAnsi="Arial" w:cs="Arial"/>
          <w:color w:val="000000"/>
          <w:sz w:val="22"/>
          <w:szCs w:val="22"/>
        </w:rPr>
        <w:t xml:space="preserve">: </w:t>
      </w:r>
      <w:proofErr w:type="spellStart"/>
      <w:r w:rsidRPr="00761C0C">
        <w:rPr>
          <w:rFonts w:ascii="Arial" w:hAnsi="Arial" w:cs="Arial"/>
          <w:color w:val="000000"/>
          <w:sz w:val="22"/>
          <w:szCs w:val="22"/>
        </w:rPr>
        <w:t>Deichert</w:t>
      </w:r>
      <w:proofErr w:type="spellEnd"/>
      <w:r w:rsidRPr="00761C0C">
        <w:rPr>
          <w:rFonts w:ascii="Arial" w:hAnsi="Arial" w:cs="Arial"/>
          <w:color w:val="000000"/>
          <w:sz w:val="22"/>
          <w:szCs w:val="22"/>
        </w:rPr>
        <w:t>, 1863.</w:t>
      </w:r>
    </w:p>
    <w:p w:rsidR="001E2852" w:rsidRPr="00761C0C" w:rsidRDefault="001E2852" w:rsidP="00761C0C">
      <w:pPr>
        <w:pStyle w:val="Normlnweb"/>
        <w:jc w:val="both"/>
        <w:rPr>
          <w:rFonts w:ascii="Arial" w:hAnsi="Arial" w:cs="Arial"/>
          <w:color w:val="000000"/>
          <w:sz w:val="22"/>
          <w:szCs w:val="22"/>
        </w:rPr>
      </w:pPr>
      <w:r w:rsidRPr="00761C0C">
        <w:rPr>
          <w:rFonts w:ascii="Arial" w:hAnsi="Arial" w:cs="Arial"/>
          <w:color w:val="000000"/>
          <w:sz w:val="22"/>
          <w:szCs w:val="22"/>
        </w:rPr>
        <w:t xml:space="preserve">BINDER, M. </w:t>
      </w:r>
      <w:proofErr w:type="spellStart"/>
      <w:r w:rsidRPr="00761C0C">
        <w:rPr>
          <w:rFonts w:ascii="Arial" w:hAnsi="Arial" w:cs="Arial"/>
          <w:color w:val="000000"/>
          <w:sz w:val="22"/>
          <w:szCs w:val="22"/>
        </w:rPr>
        <w:t>Procedural</w:t>
      </w:r>
      <w:proofErr w:type="spellEnd"/>
      <w:r w:rsidRPr="00761C0C">
        <w:rPr>
          <w:rFonts w:ascii="Arial" w:hAnsi="Arial" w:cs="Arial"/>
          <w:color w:val="000000"/>
          <w:sz w:val="22"/>
          <w:szCs w:val="22"/>
        </w:rPr>
        <w:t xml:space="preserve"> </w:t>
      </w:r>
      <w:proofErr w:type="spellStart"/>
      <w:r w:rsidRPr="00761C0C">
        <w:rPr>
          <w:rFonts w:ascii="Arial" w:hAnsi="Arial" w:cs="Arial"/>
          <w:color w:val="000000"/>
          <w:sz w:val="22"/>
          <w:szCs w:val="22"/>
        </w:rPr>
        <w:t>peculiarities</w:t>
      </w:r>
      <w:proofErr w:type="spellEnd"/>
      <w:r w:rsidRPr="00761C0C">
        <w:rPr>
          <w:rFonts w:ascii="Arial" w:hAnsi="Arial" w:cs="Arial"/>
          <w:color w:val="000000"/>
          <w:sz w:val="22"/>
          <w:szCs w:val="22"/>
        </w:rPr>
        <w:t xml:space="preserve"> </w:t>
      </w:r>
      <w:proofErr w:type="spellStart"/>
      <w:r w:rsidRPr="00761C0C">
        <w:rPr>
          <w:rFonts w:ascii="Arial" w:hAnsi="Arial" w:cs="Arial"/>
          <w:color w:val="000000"/>
          <w:sz w:val="22"/>
          <w:szCs w:val="22"/>
        </w:rPr>
        <w:t>of</w:t>
      </w:r>
      <w:proofErr w:type="spellEnd"/>
      <w:r w:rsidRPr="00761C0C">
        <w:rPr>
          <w:rFonts w:ascii="Arial" w:hAnsi="Arial" w:cs="Arial"/>
          <w:color w:val="000000"/>
          <w:sz w:val="22"/>
          <w:szCs w:val="22"/>
        </w:rPr>
        <w:t xml:space="preserve"> </w:t>
      </w:r>
      <w:proofErr w:type="spellStart"/>
      <w:r w:rsidRPr="00761C0C">
        <w:rPr>
          <w:rFonts w:ascii="Arial" w:hAnsi="Arial" w:cs="Arial"/>
          <w:color w:val="000000"/>
          <w:sz w:val="22"/>
          <w:szCs w:val="22"/>
        </w:rPr>
        <w:t>the</w:t>
      </w:r>
      <w:proofErr w:type="spellEnd"/>
      <w:r w:rsidRPr="00761C0C">
        <w:rPr>
          <w:rFonts w:ascii="Arial" w:hAnsi="Arial" w:cs="Arial"/>
          <w:color w:val="000000"/>
          <w:sz w:val="22"/>
          <w:szCs w:val="22"/>
        </w:rPr>
        <w:t xml:space="preserve"> lex </w:t>
      </w:r>
      <w:proofErr w:type="spellStart"/>
      <w:r w:rsidRPr="00761C0C">
        <w:rPr>
          <w:rFonts w:ascii="Arial" w:hAnsi="Arial" w:cs="Arial"/>
          <w:color w:val="000000"/>
          <w:sz w:val="22"/>
          <w:szCs w:val="22"/>
        </w:rPr>
        <w:t>Publilia</w:t>
      </w:r>
      <w:proofErr w:type="spellEnd"/>
      <w:r w:rsidRPr="00761C0C">
        <w:rPr>
          <w:rFonts w:ascii="Arial" w:hAnsi="Arial" w:cs="Arial"/>
          <w:color w:val="000000"/>
          <w:sz w:val="22"/>
          <w:szCs w:val="22"/>
        </w:rPr>
        <w:t xml:space="preserve"> de </w:t>
      </w:r>
      <w:proofErr w:type="spellStart"/>
      <w:r w:rsidRPr="00761C0C">
        <w:rPr>
          <w:rFonts w:ascii="Arial" w:hAnsi="Arial" w:cs="Arial"/>
          <w:color w:val="000000"/>
          <w:sz w:val="22"/>
          <w:szCs w:val="22"/>
        </w:rPr>
        <w:t>sponsu</w:t>
      </w:r>
      <w:proofErr w:type="spellEnd"/>
      <w:r w:rsidRPr="00761C0C">
        <w:rPr>
          <w:rFonts w:ascii="Arial" w:hAnsi="Arial" w:cs="Arial"/>
          <w:color w:val="000000"/>
          <w:sz w:val="22"/>
          <w:szCs w:val="22"/>
        </w:rPr>
        <w:t xml:space="preserve">. In: </w:t>
      </w:r>
      <w:proofErr w:type="spellStart"/>
      <w:r w:rsidRPr="00761C0C">
        <w:rPr>
          <w:rFonts w:ascii="Arial" w:hAnsi="Arial" w:cs="Arial"/>
          <w:i/>
          <w:color w:val="000000"/>
          <w:sz w:val="22"/>
          <w:szCs w:val="22"/>
        </w:rPr>
        <w:t>Journal</w:t>
      </w:r>
      <w:proofErr w:type="spellEnd"/>
      <w:r w:rsidRPr="00761C0C">
        <w:rPr>
          <w:rFonts w:ascii="Arial" w:hAnsi="Arial" w:cs="Arial"/>
          <w:i/>
          <w:color w:val="000000"/>
          <w:sz w:val="22"/>
          <w:szCs w:val="22"/>
        </w:rPr>
        <w:t xml:space="preserve"> on </w:t>
      </w:r>
      <w:proofErr w:type="spellStart"/>
      <w:r w:rsidRPr="00761C0C">
        <w:rPr>
          <w:rFonts w:ascii="Arial" w:hAnsi="Arial" w:cs="Arial"/>
          <w:i/>
          <w:color w:val="000000"/>
          <w:sz w:val="22"/>
          <w:szCs w:val="22"/>
        </w:rPr>
        <w:t>European</w:t>
      </w:r>
      <w:proofErr w:type="spellEnd"/>
      <w:r w:rsidRPr="00761C0C">
        <w:rPr>
          <w:rFonts w:ascii="Arial" w:hAnsi="Arial" w:cs="Arial"/>
          <w:i/>
          <w:color w:val="000000"/>
          <w:sz w:val="22"/>
          <w:szCs w:val="22"/>
        </w:rPr>
        <w:t xml:space="preserve"> </w:t>
      </w:r>
      <w:proofErr w:type="spellStart"/>
      <w:r w:rsidRPr="00761C0C">
        <w:rPr>
          <w:rFonts w:ascii="Arial" w:hAnsi="Arial" w:cs="Arial"/>
          <w:i/>
          <w:color w:val="000000"/>
          <w:sz w:val="22"/>
          <w:szCs w:val="22"/>
        </w:rPr>
        <w:t>History</w:t>
      </w:r>
      <w:proofErr w:type="spellEnd"/>
      <w:r w:rsidRPr="00761C0C">
        <w:rPr>
          <w:rFonts w:ascii="Arial" w:hAnsi="Arial" w:cs="Arial"/>
          <w:i/>
          <w:color w:val="000000"/>
          <w:sz w:val="22"/>
          <w:szCs w:val="22"/>
        </w:rPr>
        <w:t xml:space="preserve"> </w:t>
      </w:r>
      <w:proofErr w:type="spellStart"/>
      <w:r w:rsidRPr="00761C0C">
        <w:rPr>
          <w:rFonts w:ascii="Arial" w:hAnsi="Arial" w:cs="Arial"/>
          <w:i/>
          <w:color w:val="000000"/>
          <w:sz w:val="22"/>
          <w:szCs w:val="22"/>
        </w:rPr>
        <w:t>of</w:t>
      </w:r>
      <w:proofErr w:type="spellEnd"/>
      <w:r w:rsidRPr="00761C0C">
        <w:rPr>
          <w:rFonts w:ascii="Arial" w:hAnsi="Arial" w:cs="Arial"/>
          <w:i/>
          <w:color w:val="000000"/>
          <w:sz w:val="22"/>
          <w:szCs w:val="22"/>
        </w:rPr>
        <w:t xml:space="preserve"> </w:t>
      </w:r>
      <w:proofErr w:type="spellStart"/>
      <w:proofErr w:type="gramStart"/>
      <w:r w:rsidRPr="00761C0C">
        <w:rPr>
          <w:rFonts w:ascii="Arial" w:hAnsi="Arial" w:cs="Arial"/>
          <w:i/>
          <w:color w:val="000000"/>
          <w:sz w:val="22"/>
          <w:szCs w:val="22"/>
        </w:rPr>
        <w:t>Law</w:t>
      </w:r>
      <w:proofErr w:type="spellEnd"/>
      <w:proofErr w:type="gramEnd"/>
      <w:r w:rsidRPr="00761C0C">
        <w:rPr>
          <w:rFonts w:ascii="Arial" w:hAnsi="Arial" w:cs="Arial"/>
          <w:color w:val="000000"/>
          <w:sz w:val="22"/>
          <w:szCs w:val="22"/>
        </w:rPr>
        <w:t>, 2022, Vol. 13, No. 1, p. 227–232.</w:t>
      </w:r>
    </w:p>
    <w:p w:rsidR="00D91514" w:rsidRPr="00761C0C" w:rsidRDefault="00D91514" w:rsidP="00761C0C">
      <w:pPr>
        <w:pStyle w:val="Normlnweb"/>
        <w:jc w:val="both"/>
        <w:rPr>
          <w:rFonts w:ascii="Arial" w:hAnsi="Arial" w:cs="Arial"/>
          <w:color w:val="000000"/>
          <w:sz w:val="22"/>
          <w:szCs w:val="22"/>
          <w:u w:val="single"/>
          <w:lang w:val="en-GB"/>
        </w:rPr>
      </w:pPr>
      <w:r w:rsidRPr="00761C0C">
        <w:rPr>
          <w:rFonts w:ascii="Arial" w:hAnsi="Arial" w:cs="Arial"/>
          <w:color w:val="000000"/>
          <w:sz w:val="22"/>
          <w:szCs w:val="22"/>
          <w:lang w:val="en-GB"/>
        </w:rPr>
        <w:t xml:space="preserve">SCHEPERS, E. The vanguard vs. the mass organization [online]. </w:t>
      </w:r>
      <w:r w:rsidRPr="00761C0C">
        <w:rPr>
          <w:rFonts w:ascii="Arial" w:hAnsi="Arial" w:cs="Arial"/>
          <w:i/>
          <w:iCs/>
          <w:color w:val="000000"/>
          <w:sz w:val="22"/>
          <w:szCs w:val="22"/>
          <w:lang w:val="en-GB"/>
        </w:rPr>
        <w:t xml:space="preserve">cpusa.org. </w:t>
      </w:r>
      <w:r w:rsidRPr="00761C0C">
        <w:rPr>
          <w:rFonts w:ascii="Arial" w:hAnsi="Arial" w:cs="Arial"/>
          <w:color w:val="000000"/>
          <w:sz w:val="22"/>
          <w:szCs w:val="22"/>
          <w:lang w:val="en-GB"/>
        </w:rPr>
        <w:t>06–01–2024.</w:t>
      </w:r>
      <w:r w:rsidRPr="00761C0C">
        <w:rPr>
          <w:rFonts w:ascii="Arial" w:hAnsi="Arial" w:cs="Arial"/>
          <w:i/>
          <w:iCs/>
          <w:color w:val="000000"/>
          <w:sz w:val="22"/>
          <w:szCs w:val="22"/>
          <w:lang w:val="en-GB"/>
        </w:rPr>
        <w:t xml:space="preserve"> </w:t>
      </w:r>
      <w:r w:rsidRPr="00761C0C">
        <w:rPr>
          <w:rFonts w:ascii="Arial" w:hAnsi="Arial" w:cs="Arial"/>
          <w:color w:val="000000"/>
          <w:sz w:val="22"/>
          <w:szCs w:val="22"/>
          <w:lang w:val="en-GB"/>
        </w:rPr>
        <w:t xml:space="preserve">[cit. 08–30–2024]. </w:t>
      </w:r>
      <w:hyperlink r:id="rId15" w:history="1">
        <w:r w:rsidRPr="00761C0C">
          <w:rPr>
            <w:rStyle w:val="Hypertextovodkaz"/>
            <w:rFonts w:ascii="Arial" w:hAnsi="Arial" w:cs="Arial"/>
            <w:sz w:val="22"/>
            <w:szCs w:val="22"/>
            <w:lang w:val="en-GB"/>
          </w:rPr>
          <w:t>https://www.cpusa.org/contribution/the-vanguard-vs-the-mass-organization/</w:t>
        </w:r>
      </w:hyperlink>
    </w:p>
    <w:p w:rsidR="00D91514" w:rsidRPr="00D91514" w:rsidRDefault="00D91514" w:rsidP="001E2852">
      <w:pPr>
        <w:pStyle w:val="Normlnweb"/>
        <w:rPr>
          <w:rFonts w:ascii="Arial" w:hAnsi="Arial" w:cs="Arial"/>
          <w:color w:val="000000"/>
          <w:sz w:val="22"/>
          <w:szCs w:val="22"/>
          <w:lang w:val="en-GB"/>
        </w:rPr>
      </w:pPr>
    </w:p>
    <w:p w:rsidR="001E2852" w:rsidRPr="001E2852" w:rsidRDefault="001E2852" w:rsidP="00A24DB3">
      <w:pPr>
        <w:spacing w:before="120"/>
        <w:jc w:val="both"/>
        <w:rPr>
          <w:b/>
          <w:sz w:val="24"/>
          <w:szCs w:val="24"/>
        </w:rPr>
      </w:pPr>
      <w:bookmarkStart w:id="0" w:name="_GoBack"/>
      <w:bookmarkEnd w:id="0"/>
    </w:p>
    <w:p w:rsidR="00A24DB3" w:rsidRPr="00F44892" w:rsidRDefault="00A24DB3" w:rsidP="00A24DB3">
      <w:pPr>
        <w:jc w:val="center"/>
        <w:rPr>
          <w:rFonts w:ascii="Times New Roman" w:hAnsi="Times New Roman"/>
          <w:b/>
          <w:bCs/>
          <w:sz w:val="24"/>
          <w:szCs w:val="24"/>
          <w:lang w:val="en-GB"/>
        </w:rPr>
      </w:pPr>
      <w:r w:rsidRPr="00F44892">
        <w:rPr>
          <w:sz w:val="24"/>
          <w:szCs w:val="20"/>
          <w:highlight w:val="yellow"/>
          <w:lang w:val="en-GB"/>
        </w:rPr>
        <w:br w:type="page"/>
      </w:r>
      <w:r w:rsidRPr="00F44892">
        <w:rPr>
          <w:rFonts w:ascii="Times New Roman" w:hAnsi="Times New Roman"/>
          <w:b/>
          <w:bCs/>
          <w:sz w:val="24"/>
          <w:szCs w:val="24"/>
          <w:lang w:val="en-GB"/>
        </w:rPr>
        <w:lastRenderedPageBreak/>
        <w:t xml:space="preserve">The Status of Jews in </w:t>
      </w:r>
      <w:proofErr w:type="spellStart"/>
      <w:r w:rsidRPr="00F44892">
        <w:rPr>
          <w:rFonts w:ascii="Times New Roman" w:hAnsi="Times New Roman"/>
          <w:b/>
          <w:bCs/>
          <w:sz w:val="24"/>
          <w:szCs w:val="24"/>
          <w:lang w:val="en-GB"/>
        </w:rPr>
        <w:t>Labor</w:t>
      </w:r>
      <w:proofErr w:type="spellEnd"/>
      <w:r w:rsidRPr="00F44892">
        <w:rPr>
          <w:rFonts w:ascii="Times New Roman" w:hAnsi="Times New Roman"/>
          <w:b/>
          <w:bCs/>
          <w:sz w:val="24"/>
          <w:szCs w:val="24"/>
          <w:lang w:val="en-GB"/>
        </w:rPr>
        <w:t xml:space="preserve"> Relationships in the Protectorate of Bohemia and Moravia</w:t>
      </w:r>
    </w:p>
    <w:p w:rsidR="00A24DB3" w:rsidRPr="000E791B" w:rsidRDefault="00AC0FF7" w:rsidP="00A24DB3">
      <w:pPr>
        <w:jc w:val="center"/>
        <w:rPr>
          <w:rFonts w:ascii="Times New Roman" w:hAnsi="Times New Roman"/>
          <w:b/>
          <w:bCs/>
          <w:sz w:val="24"/>
          <w:szCs w:val="24"/>
          <w:lang w:val="de-DE"/>
        </w:rPr>
      </w:pPr>
      <w:r>
        <w:rPr>
          <w:rFonts w:ascii="Times New Roman" w:hAnsi="Times New Roman"/>
          <w:b/>
          <w:bCs/>
          <w:sz w:val="24"/>
          <w:szCs w:val="24"/>
          <w:lang w:val="de-DE"/>
        </w:rPr>
        <w:t>prof</w:t>
      </w:r>
      <w:r w:rsidR="00A24DB3" w:rsidRPr="000E791B">
        <w:rPr>
          <w:rFonts w:ascii="Times New Roman" w:hAnsi="Times New Roman"/>
          <w:b/>
          <w:bCs/>
          <w:sz w:val="24"/>
          <w:szCs w:val="24"/>
          <w:lang w:val="de-DE"/>
        </w:rPr>
        <w:t xml:space="preserve">. JUDr. </w:t>
      </w:r>
      <w:proofErr w:type="spellStart"/>
      <w:r w:rsidR="00A24DB3" w:rsidRPr="000E791B">
        <w:rPr>
          <w:rFonts w:ascii="Times New Roman" w:hAnsi="Times New Roman"/>
          <w:b/>
          <w:bCs/>
          <w:sz w:val="24"/>
          <w:szCs w:val="24"/>
          <w:lang w:val="de-DE"/>
        </w:rPr>
        <w:t>Jaromír</w:t>
      </w:r>
      <w:proofErr w:type="spellEnd"/>
      <w:r w:rsidR="00A24DB3" w:rsidRPr="000E791B">
        <w:rPr>
          <w:rFonts w:ascii="Times New Roman" w:hAnsi="Times New Roman"/>
          <w:b/>
          <w:bCs/>
          <w:sz w:val="24"/>
          <w:szCs w:val="24"/>
          <w:lang w:val="de-DE"/>
        </w:rPr>
        <w:t xml:space="preserve"> Tauchen, </w:t>
      </w:r>
      <w:proofErr w:type="spellStart"/>
      <w:r w:rsidR="00A24DB3" w:rsidRPr="000E791B">
        <w:rPr>
          <w:rFonts w:ascii="Times New Roman" w:hAnsi="Times New Roman"/>
          <w:b/>
          <w:bCs/>
          <w:sz w:val="24"/>
          <w:szCs w:val="24"/>
          <w:lang w:val="de-DE"/>
        </w:rPr>
        <w:t>Ph.D</w:t>
      </w:r>
      <w:proofErr w:type="spellEnd"/>
      <w:r w:rsidR="00A24DB3" w:rsidRPr="000E791B">
        <w:rPr>
          <w:rFonts w:ascii="Times New Roman" w:hAnsi="Times New Roman"/>
          <w:b/>
          <w:bCs/>
          <w:sz w:val="24"/>
          <w:szCs w:val="24"/>
          <w:lang w:val="de-DE"/>
        </w:rPr>
        <w:t>.</w:t>
      </w:r>
    </w:p>
    <w:p w:rsidR="00A24DB3" w:rsidRDefault="00A24DB3" w:rsidP="00A24DB3">
      <w:pPr>
        <w:jc w:val="center"/>
        <w:rPr>
          <w:rFonts w:ascii="Times New Roman" w:hAnsi="Times New Roman"/>
          <w:sz w:val="24"/>
          <w:szCs w:val="24"/>
          <w:lang w:val="en-GB"/>
        </w:rPr>
      </w:pPr>
      <w:r w:rsidRPr="00F44892">
        <w:rPr>
          <w:rFonts w:ascii="Times New Roman" w:hAnsi="Times New Roman"/>
          <w:sz w:val="24"/>
          <w:szCs w:val="24"/>
          <w:lang w:val="en-GB"/>
        </w:rPr>
        <w:t xml:space="preserve">Department of the History of the State and Law, Faculty of Law, Masaryk University, </w:t>
      </w:r>
      <w:proofErr w:type="spellStart"/>
      <w:r w:rsidRPr="00F44892">
        <w:rPr>
          <w:rFonts w:ascii="Times New Roman" w:hAnsi="Times New Roman"/>
          <w:sz w:val="24"/>
          <w:szCs w:val="24"/>
          <w:lang w:val="en-GB"/>
        </w:rPr>
        <w:t>Veveří</w:t>
      </w:r>
      <w:proofErr w:type="spellEnd"/>
      <w:r w:rsidRPr="00F44892">
        <w:rPr>
          <w:rFonts w:ascii="Times New Roman" w:hAnsi="Times New Roman"/>
          <w:sz w:val="24"/>
          <w:szCs w:val="24"/>
          <w:lang w:val="en-GB"/>
        </w:rPr>
        <w:t xml:space="preserve"> 70, Brno, 611 80 Czech Republic, email: j</w:t>
      </w:r>
      <w:r>
        <w:rPr>
          <w:rFonts w:ascii="Times New Roman" w:hAnsi="Times New Roman"/>
          <w:sz w:val="24"/>
          <w:szCs w:val="24"/>
          <w:lang w:val="en-GB"/>
        </w:rPr>
        <w:t>aromir.tauchen@</w:t>
      </w:r>
      <w:r w:rsidRPr="00F44892">
        <w:rPr>
          <w:rFonts w:ascii="Times New Roman" w:hAnsi="Times New Roman"/>
          <w:sz w:val="24"/>
          <w:szCs w:val="24"/>
          <w:lang w:val="en-GB"/>
        </w:rPr>
        <w:t>law.muni.cz</w:t>
      </w:r>
    </w:p>
    <w:p w:rsidR="00A24DB3" w:rsidRPr="00F44892" w:rsidRDefault="00A24DB3" w:rsidP="00A24DB3">
      <w:pPr>
        <w:jc w:val="center"/>
        <w:rPr>
          <w:rFonts w:ascii="Times New Roman" w:hAnsi="Times New Roman"/>
          <w:sz w:val="24"/>
          <w:szCs w:val="24"/>
          <w:lang w:val="en-GB"/>
        </w:rPr>
      </w:pPr>
      <w:r>
        <w:rPr>
          <w:rFonts w:ascii="Times New Roman" w:hAnsi="Times New Roman"/>
          <w:sz w:val="24"/>
          <w:szCs w:val="24"/>
          <w:lang w:val="en-GB"/>
        </w:rPr>
        <w:t xml:space="preserve">ORCID </w:t>
      </w:r>
      <w:r w:rsidRPr="00A24DB3">
        <w:rPr>
          <w:rFonts w:ascii="Times New Roman" w:hAnsi="Times New Roman"/>
          <w:sz w:val="24"/>
          <w:szCs w:val="24"/>
          <w:lang w:val="en-GB"/>
        </w:rPr>
        <w:t>0000-0001-9400-9484</w:t>
      </w:r>
    </w:p>
    <w:p w:rsidR="00A24DB3" w:rsidRPr="00F44892" w:rsidRDefault="00A24DB3" w:rsidP="00A24DB3">
      <w:pPr>
        <w:jc w:val="center"/>
        <w:rPr>
          <w:rFonts w:ascii="Times New Roman" w:hAnsi="Times New Roman"/>
          <w:b/>
          <w:sz w:val="24"/>
          <w:szCs w:val="24"/>
          <w:lang w:val="en-GB"/>
        </w:rPr>
      </w:pPr>
      <w:r w:rsidRPr="00F44892">
        <w:rPr>
          <w:rFonts w:ascii="Times New Roman" w:hAnsi="Times New Roman"/>
          <w:b/>
          <w:sz w:val="24"/>
          <w:szCs w:val="24"/>
          <w:lang w:val="en-GB"/>
        </w:rPr>
        <w:t>Abstract:</w:t>
      </w:r>
    </w:p>
    <w:p w:rsidR="00A24DB3" w:rsidRPr="00F44892" w:rsidRDefault="00A24DB3" w:rsidP="00A24DB3">
      <w:pPr>
        <w:jc w:val="both"/>
        <w:rPr>
          <w:rFonts w:ascii="Times New Roman" w:hAnsi="Times New Roman"/>
          <w:sz w:val="24"/>
          <w:szCs w:val="24"/>
          <w:lang w:val="en-GB"/>
        </w:rPr>
      </w:pPr>
      <w:r w:rsidRPr="00F44892">
        <w:rPr>
          <w:rFonts w:ascii="Times New Roman" w:hAnsi="Times New Roman"/>
          <w:sz w:val="24"/>
          <w:szCs w:val="24"/>
          <w:lang w:val="en-GB"/>
        </w:rPr>
        <w:t xml:space="preserve">According to the German model, in the Protectorate of Bohemia and Moravia, there was enacted so-called racial legislation, which did not allow the persons to whom the racial laws applied to be engaged in certain professions. The Decree No. 136/1942 Coll. on Legal Status of Jews in Public Issues excluded Jews from public administration jobs, education jobs, legal professions, health service and journalism. The Decree No. 260/1942 Coll. on Employing Jews derogated the protective function of </w:t>
      </w:r>
      <w:proofErr w:type="spellStart"/>
      <w:r w:rsidRPr="00F44892">
        <w:rPr>
          <w:rFonts w:ascii="Times New Roman" w:hAnsi="Times New Roman"/>
          <w:sz w:val="24"/>
          <w:szCs w:val="24"/>
          <w:lang w:val="en-GB"/>
        </w:rPr>
        <w:t>labor</w:t>
      </w:r>
      <w:proofErr w:type="spellEnd"/>
      <w:r w:rsidRPr="00F44892">
        <w:rPr>
          <w:rFonts w:ascii="Times New Roman" w:hAnsi="Times New Roman"/>
          <w:sz w:val="24"/>
          <w:szCs w:val="24"/>
          <w:lang w:val="en-GB"/>
        </w:rPr>
        <w:t xml:space="preserve"> law. As it is shown in this contribution, in the Protectorate of Bohemia and Moravia, Jews were deprived of any kind of protection in </w:t>
      </w:r>
      <w:proofErr w:type="spellStart"/>
      <w:r w:rsidRPr="00F44892">
        <w:rPr>
          <w:rFonts w:ascii="Times New Roman" w:hAnsi="Times New Roman"/>
          <w:sz w:val="24"/>
          <w:szCs w:val="24"/>
          <w:lang w:val="en-GB"/>
        </w:rPr>
        <w:t>labor</w:t>
      </w:r>
      <w:proofErr w:type="spellEnd"/>
      <w:r w:rsidRPr="00F44892">
        <w:rPr>
          <w:rFonts w:ascii="Times New Roman" w:hAnsi="Times New Roman"/>
          <w:sz w:val="24"/>
          <w:szCs w:val="24"/>
          <w:lang w:val="en-GB"/>
        </w:rPr>
        <w:t xml:space="preserve"> relationships. Discrimination in </w:t>
      </w:r>
      <w:proofErr w:type="spellStart"/>
      <w:r w:rsidRPr="00F44892">
        <w:rPr>
          <w:rFonts w:ascii="Times New Roman" w:hAnsi="Times New Roman"/>
          <w:sz w:val="24"/>
          <w:szCs w:val="24"/>
          <w:lang w:val="en-GB"/>
        </w:rPr>
        <w:t>labor</w:t>
      </w:r>
      <w:proofErr w:type="spellEnd"/>
      <w:r w:rsidRPr="00F44892">
        <w:rPr>
          <w:rFonts w:ascii="Times New Roman" w:hAnsi="Times New Roman"/>
          <w:sz w:val="24"/>
          <w:szCs w:val="24"/>
          <w:lang w:val="en-GB"/>
        </w:rPr>
        <w:t xml:space="preserve"> law was however not the only example of interference with rights of the Jews living in Protectorate. As time went by, Jews were robbed of all property and soon they were deprived of the last thing they had: personal freedom and life.</w:t>
      </w:r>
    </w:p>
    <w:p w:rsidR="00A24DB3" w:rsidRPr="00F44892" w:rsidRDefault="00A24DB3" w:rsidP="00A24DB3">
      <w:pPr>
        <w:rPr>
          <w:rFonts w:ascii="Times New Roman" w:hAnsi="Times New Roman"/>
          <w:sz w:val="24"/>
          <w:szCs w:val="24"/>
          <w:lang w:val="en-GB"/>
        </w:rPr>
      </w:pPr>
      <w:r w:rsidRPr="00F44892">
        <w:rPr>
          <w:rFonts w:ascii="Times New Roman" w:hAnsi="Times New Roman"/>
          <w:b/>
          <w:sz w:val="24"/>
          <w:szCs w:val="24"/>
          <w:lang w:val="en-GB"/>
        </w:rPr>
        <w:t>Keywords:</w:t>
      </w:r>
      <w:r w:rsidRPr="00F44892">
        <w:rPr>
          <w:rFonts w:ascii="Times New Roman" w:hAnsi="Times New Roman"/>
          <w:sz w:val="24"/>
          <w:szCs w:val="24"/>
          <w:lang w:val="en-GB"/>
        </w:rPr>
        <w:t xml:space="preserve"> Protectorate of Bohemia and Moravia; Jews; </w:t>
      </w:r>
      <w:proofErr w:type="spellStart"/>
      <w:r w:rsidRPr="00F44892">
        <w:rPr>
          <w:rFonts w:ascii="Times New Roman" w:hAnsi="Times New Roman"/>
          <w:sz w:val="24"/>
          <w:szCs w:val="24"/>
          <w:lang w:val="en-GB"/>
        </w:rPr>
        <w:t>labor</w:t>
      </w:r>
      <w:proofErr w:type="spellEnd"/>
      <w:r w:rsidRPr="00F44892">
        <w:rPr>
          <w:rFonts w:ascii="Times New Roman" w:hAnsi="Times New Roman"/>
          <w:sz w:val="24"/>
          <w:szCs w:val="24"/>
          <w:lang w:val="en-GB"/>
        </w:rPr>
        <w:t xml:space="preserve"> law; discrimination.</w:t>
      </w:r>
    </w:p>
    <w:p w:rsidR="00A24DB3" w:rsidRPr="00F44892" w:rsidRDefault="00A24DB3" w:rsidP="00A24DB3">
      <w:pPr>
        <w:jc w:val="center"/>
        <w:rPr>
          <w:rFonts w:ascii="Times New Roman" w:hAnsi="Times New Roman"/>
          <w:b/>
          <w:bCs/>
          <w:sz w:val="24"/>
          <w:szCs w:val="24"/>
          <w:lang w:val="en-GB"/>
        </w:rPr>
      </w:pPr>
    </w:p>
    <w:p w:rsidR="00A24DB3" w:rsidRPr="00F44892" w:rsidRDefault="00A24DB3" w:rsidP="00A24DB3">
      <w:pPr>
        <w:pStyle w:val="HeadingP1"/>
        <w:numPr>
          <w:ilvl w:val="0"/>
          <w:numId w:val="0"/>
        </w:numPr>
        <w:spacing w:line="276" w:lineRule="auto"/>
        <w:rPr>
          <w:lang w:val="en-GB"/>
        </w:rPr>
      </w:pPr>
      <w:r w:rsidRPr="00F44892">
        <w:rPr>
          <w:lang w:val="en-GB"/>
        </w:rPr>
        <w:t xml:space="preserve">1. </w:t>
      </w:r>
      <w:r w:rsidRPr="00F44892">
        <w:rPr>
          <w:caps w:val="0"/>
          <w:lang w:val="en-GB"/>
        </w:rPr>
        <w:t>Introduction</w:t>
      </w:r>
    </w:p>
    <w:p w:rsidR="00A24DB3" w:rsidRPr="00F44892" w:rsidRDefault="00A24DB3" w:rsidP="00A24DB3">
      <w:pPr>
        <w:jc w:val="both"/>
        <w:rPr>
          <w:rFonts w:ascii="Times New Roman" w:hAnsi="Times New Roman"/>
          <w:sz w:val="24"/>
          <w:szCs w:val="24"/>
          <w:lang w:val="en-GB"/>
        </w:rPr>
      </w:pPr>
      <w:r w:rsidRPr="00F44892">
        <w:rPr>
          <w:rFonts w:ascii="Times New Roman" w:hAnsi="Times New Roman"/>
          <w:sz w:val="24"/>
          <w:szCs w:val="24"/>
          <w:lang w:val="en-GB"/>
        </w:rPr>
        <w:t>On March 15, 1939, the occupation of the Czech lands by the German army started and a new state entity called “Protectorate of Bohemia and Moravia”, which existed until the end of the World War II, was established. Slovakia separated off from the Czech lands and declared an independent state (Slovak Republic, also called Slovak State).</w:t>
      </w:r>
      <w:r w:rsidRPr="00F44892">
        <w:rPr>
          <w:rStyle w:val="Znakapoznpodarou"/>
          <w:rFonts w:ascii="Times New Roman" w:hAnsi="Times New Roman"/>
          <w:sz w:val="24"/>
          <w:szCs w:val="24"/>
          <w:lang w:val="en-GB"/>
        </w:rPr>
        <w:t xml:space="preserve"> </w:t>
      </w:r>
      <w:r w:rsidRPr="00F44892">
        <w:rPr>
          <w:rStyle w:val="Znakapoznpodarou"/>
          <w:rFonts w:ascii="Times New Roman" w:hAnsi="Times New Roman"/>
          <w:sz w:val="24"/>
          <w:szCs w:val="24"/>
          <w:lang w:val="en-GB"/>
        </w:rPr>
        <w:footnoteReference w:id="1"/>
      </w:r>
    </w:p>
    <w:p w:rsidR="00A24DB3" w:rsidRPr="00F44892" w:rsidRDefault="00A24DB3" w:rsidP="00A24DB3">
      <w:pPr>
        <w:jc w:val="both"/>
        <w:rPr>
          <w:rFonts w:ascii="Times New Roman" w:hAnsi="Times New Roman"/>
          <w:sz w:val="24"/>
          <w:szCs w:val="24"/>
          <w:lang w:val="en-GB"/>
        </w:rPr>
      </w:pPr>
      <w:r w:rsidRPr="00F44892">
        <w:rPr>
          <w:rFonts w:ascii="Times New Roman" w:hAnsi="Times New Roman"/>
          <w:sz w:val="24"/>
          <w:szCs w:val="24"/>
          <w:lang w:val="en-GB"/>
        </w:rPr>
        <w:t xml:space="preserve">There were </w:t>
      </w:r>
      <w:r w:rsidRPr="00F44892">
        <w:rPr>
          <w:rFonts w:ascii="Times New Roman" w:hAnsi="Times New Roman"/>
          <w:i/>
          <w:iCs/>
          <w:sz w:val="24"/>
          <w:szCs w:val="24"/>
          <w:lang w:val="en-GB"/>
        </w:rPr>
        <w:t>de facto</w:t>
      </w:r>
      <w:r w:rsidRPr="00F44892">
        <w:rPr>
          <w:rFonts w:ascii="Times New Roman" w:hAnsi="Times New Roman"/>
          <w:sz w:val="24"/>
          <w:szCs w:val="24"/>
          <w:lang w:val="en-GB"/>
        </w:rPr>
        <w:t xml:space="preserve"> three groups of residents in the Protectorate, each of them having a different legal status. In the first group were German Reich citizens, who were the former Czechoslovakian citizens having German nationality. Germans who lived in the Protectorate were subject only to the Reich’s authorities and exclusive jurisdiction of German courts. Czechs were in the second group of Protectorate residents and in the third group, to which the racial laws applied and whose members were completely deprived of legal protection, were Jews and Romany.</w:t>
      </w:r>
    </w:p>
    <w:p w:rsidR="00A24DB3" w:rsidRPr="00F44892" w:rsidRDefault="00A24DB3" w:rsidP="00A24DB3">
      <w:pPr>
        <w:jc w:val="both"/>
        <w:rPr>
          <w:rFonts w:ascii="Times New Roman" w:hAnsi="Times New Roman"/>
          <w:sz w:val="24"/>
          <w:szCs w:val="24"/>
          <w:lang w:val="en-GB"/>
        </w:rPr>
      </w:pPr>
      <w:r w:rsidRPr="00F44892">
        <w:rPr>
          <w:rFonts w:ascii="Times New Roman" w:hAnsi="Times New Roman"/>
          <w:sz w:val="24"/>
          <w:szCs w:val="24"/>
          <w:lang w:val="en-GB"/>
        </w:rPr>
        <w:t xml:space="preserve">The field of </w:t>
      </w:r>
      <w:proofErr w:type="spellStart"/>
      <w:r w:rsidRPr="00F44892">
        <w:rPr>
          <w:rFonts w:ascii="Times New Roman" w:hAnsi="Times New Roman"/>
          <w:sz w:val="24"/>
          <w:szCs w:val="24"/>
          <w:lang w:val="en-GB"/>
        </w:rPr>
        <w:t>labor</w:t>
      </w:r>
      <w:proofErr w:type="spellEnd"/>
      <w:r w:rsidRPr="00F44892">
        <w:rPr>
          <w:rFonts w:ascii="Times New Roman" w:hAnsi="Times New Roman"/>
          <w:sz w:val="24"/>
          <w:szCs w:val="24"/>
          <w:lang w:val="en-GB"/>
        </w:rPr>
        <w:t xml:space="preserve"> law started to be hampered shortly after the Protectorate of Bohemia and Moravia had been established. </w:t>
      </w:r>
      <w:proofErr w:type="spellStart"/>
      <w:r w:rsidRPr="00F44892">
        <w:rPr>
          <w:rFonts w:ascii="Times New Roman" w:hAnsi="Times New Roman"/>
          <w:sz w:val="24"/>
          <w:szCs w:val="24"/>
          <w:lang w:val="en-GB"/>
        </w:rPr>
        <w:t>Labor</w:t>
      </w:r>
      <w:proofErr w:type="spellEnd"/>
      <w:r w:rsidRPr="00F44892">
        <w:rPr>
          <w:rFonts w:ascii="Times New Roman" w:hAnsi="Times New Roman"/>
          <w:sz w:val="24"/>
          <w:szCs w:val="24"/>
          <w:lang w:val="en-GB"/>
        </w:rPr>
        <w:t xml:space="preserve"> law was one of the branches of law that were strongly affected during German occupation, unlike civil law, which was not infringed too much. One of the very first steps taken by Nazis in Protectorate in the year of 1939 was gradual elimination </w:t>
      </w:r>
      <w:r w:rsidRPr="00F44892">
        <w:rPr>
          <w:rFonts w:ascii="Times New Roman" w:hAnsi="Times New Roman"/>
          <w:sz w:val="24"/>
          <w:szCs w:val="24"/>
          <w:lang w:val="en-GB"/>
        </w:rPr>
        <w:lastRenderedPageBreak/>
        <w:t>of Jewish employees from position in state administration and judiciary as well as from economic professions and culture. The Nazis were inspired by the legal order which was in force in the German Reich.</w:t>
      </w:r>
      <w:r w:rsidRPr="00F44892">
        <w:rPr>
          <w:rStyle w:val="Znakapoznpodarou"/>
          <w:rFonts w:ascii="Times New Roman" w:hAnsi="Times New Roman"/>
          <w:sz w:val="24"/>
          <w:szCs w:val="24"/>
          <w:lang w:val="en-GB"/>
        </w:rPr>
        <w:footnoteReference w:id="2"/>
      </w:r>
    </w:p>
    <w:p w:rsidR="00A24DB3" w:rsidRDefault="00A24DB3" w:rsidP="006741A2">
      <w:pPr>
        <w:rPr>
          <w:rFonts w:ascii="Times New Roman" w:hAnsi="Times New Roman"/>
          <w:b/>
          <w:bCs/>
          <w:sz w:val="24"/>
          <w:szCs w:val="20"/>
          <w:lang w:val="en-GB"/>
        </w:rPr>
      </w:pPr>
      <w:r w:rsidRPr="00F44892">
        <w:rPr>
          <w:rFonts w:ascii="Times New Roman" w:hAnsi="Times New Roman"/>
          <w:b/>
          <w:bCs/>
          <w:sz w:val="24"/>
          <w:szCs w:val="20"/>
          <w:lang w:val="en-GB"/>
        </w:rPr>
        <w:t>2. XXX</w:t>
      </w:r>
    </w:p>
    <w:p w:rsidR="006741A2" w:rsidRPr="006741A2" w:rsidRDefault="006741A2" w:rsidP="006741A2">
      <w:pPr>
        <w:rPr>
          <w:rFonts w:ascii="Times New Roman" w:hAnsi="Times New Roman"/>
          <w:bCs/>
          <w:sz w:val="24"/>
          <w:szCs w:val="20"/>
          <w:lang w:val="en-GB"/>
        </w:rPr>
      </w:pPr>
      <w:r w:rsidRPr="006741A2">
        <w:rPr>
          <w:rFonts w:ascii="Times New Roman" w:hAnsi="Times New Roman"/>
          <w:bCs/>
          <w:sz w:val="24"/>
          <w:szCs w:val="20"/>
          <w:lang w:val="en-GB"/>
        </w:rPr>
        <w:t>(…)</w:t>
      </w:r>
    </w:p>
    <w:p w:rsidR="006741A2" w:rsidRDefault="006741A2" w:rsidP="006741A2">
      <w:pPr>
        <w:rPr>
          <w:rFonts w:ascii="Times New Roman" w:hAnsi="Times New Roman"/>
          <w:b/>
          <w:bCs/>
          <w:sz w:val="24"/>
          <w:szCs w:val="20"/>
          <w:lang w:val="en-GB"/>
        </w:rPr>
      </w:pPr>
      <w:r>
        <w:rPr>
          <w:rFonts w:ascii="Times New Roman" w:hAnsi="Times New Roman"/>
          <w:b/>
          <w:bCs/>
          <w:sz w:val="24"/>
          <w:szCs w:val="20"/>
          <w:lang w:val="en-GB"/>
        </w:rPr>
        <w:t>References</w:t>
      </w:r>
    </w:p>
    <w:p w:rsidR="006741A2" w:rsidRDefault="006741A2" w:rsidP="006741A2">
      <w:pPr>
        <w:rPr>
          <w:rFonts w:ascii="Times New Roman" w:hAnsi="Times New Roman"/>
          <w:bCs/>
          <w:sz w:val="24"/>
          <w:szCs w:val="20"/>
          <w:lang w:val="en-GB"/>
        </w:rPr>
      </w:pPr>
      <w:r w:rsidRPr="006741A2">
        <w:rPr>
          <w:rFonts w:ascii="Times New Roman" w:hAnsi="Times New Roman"/>
          <w:bCs/>
          <w:sz w:val="24"/>
          <w:szCs w:val="20"/>
          <w:lang w:val="en-GB"/>
        </w:rPr>
        <w:t>(…)</w:t>
      </w:r>
    </w:p>
    <w:p w:rsidR="006065E2" w:rsidRDefault="006065E2" w:rsidP="006065E2">
      <w:pPr>
        <w:jc w:val="both"/>
        <w:rPr>
          <w:rFonts w:ascii="Times New Roman" w:hAnsi="Times New Roman"/>
          <w:bCs/>
          <w:sz w:val="24"/>
          <w:szCs w:val="20"/>
          <w:lang w:val="en-GB"/>
        </w:rPr>
      </w:pPr>
    </w:p>
    <w:p w:rsidR="006065E2" w:rsidRPr="006741A2" w:rsidRDefault="006065E2" w:rsidP="006065E2">
      <w:pPr>
        <w:jc w:val="both"/>
        <w:rPr>
          <w:rFonts w:ascii="Times New Roman" w:hAnsi="Times New Roman"/>
          <w:bCs/>
          <w:sz w:val="24"/>
          <w:szCs w:val="20"/>
          <w:lang w:val="en-GB"/>
        </w:rPr>
      </w:pPr>
      <w:proofErr w:type="spellStart"/>
      <w:r w:rsidRPr="006065E2">
        <w:rPr>
          <w:rFonts w:ascii="Times New Roman" w:hAnsi="Times New Roman"/>
          <w:b/>
          <w:bCs/>
          <w:sz w:val="24"/>
          <w:szCs w:val="20"/>
          <w:lang w:val="en-GB"/>
        </w:rPr>
        <w:t>Jaromír</w:t>
      </w:r>
      <w:proofErr w:type="spellEnd"/>
      <w:r w:rsidRPr="006065E2">
        <w:rPr>
          <w:rFonts w:ascii="Times New Roman" w:hAnsi="Times New Roman"/>
          <w:b/>
          <w:bCs/>
          <w:sz w:val="24"/>
          <w:szCs w:val="20"/>
          <w:lang w:val="en-GB"/>
        </w:rPr>
        <w:t xml:space="preserve"> </w:t>
      </w:r>
      <w:proofErr w:type="spellStart"/>
      <w:r w:rsidRPr="006065E2">
        <w:rPr>
          <w:rFonts w:ascii="Times New Roman" w:hAnsi="Times New Roman"/>
          <w:b/>
          <w:bCs/>
          <w:sz w:val="24"/>
          <w:szCs w:val="20"/>
          <w:lang w:val="en-GB"/>
        </w:rPr>
        <w:t>Tauchen</w:t>
      </w:r>
      <w:proofErr w:type="spellEnd"/>
      <w:r w:rsidRPr="006065E2">
        <w:rPr>
          <w:rFonts w:ascii="Times New Roman" w:hAnsi="Times New Roman"/>
          <w:bCs/>
          <w:sz w:val="24"/>
          <w:szCs w:val="20"/>
          <w:lang w:val="en-GB"/>
        </w:rPr>
        <w:t xml:space="preserve"> (*1981) is professor of legal history and head of the Department of the History of the State and Law, Faculty of Law, Masaryk University Brno, Czech Republic. He also practices as a certified judicial interpreter and translator (German/Czech). His research is mainly focused on German legal history, especially the era of the Third Reich, the Protectorate Bohemia and Moravia, the First Czechoslovak Republic and the history of Germans in the Czech lands. He also focuses on the history of legal science. He is the chief editor of the 2</w:t>
      </w:r>
      <w:r w:rsidR="00AC0FF7">
        <w:rPr>
          <w:rFonts w:ascii="Times New Roman" w:hAnsi="Times New Roman"/>
          <w:bCs/>
          <w:sz w:val="24"/>
          <w:szCs w:val="20"/>
          <w:lang w:val="en-GB"/>
        </w:rPr>
        <w:t>7</w:t>
      </w:r>
      <w:r w:rsidRPr="006065E2">
        <w:rPr>
          <w:rFonts w:ascii="Times New Roman" w:hAnsi="Times New Roman"/>
          <w:bCs/>
          <w:sz w:val="24"/>
          <w:szCs w:val="20"/>
          <w:lang w:val="en-GB"/>
        </w:rPr>
        <w:t xml:space="preserve">-volume </w:t>
      </w:r>
      <w:proofErr w:type="spellStart"/>
      <w:r w:rsidRPr="006065E2">
        <w:rPr>
          <w:rFonts w:ascii="Times New Roman" w:hAnsi="Times New Roman"/>
          <w:bCs/>
          <w:sz w:val="24"/>
          <w:szCs w:val="20"/>
          <w:lang w:val="en-GB"/>
        </w:rPr>
        <w:t>Encyclopedia</w:t>
      </w:r>
      <w:proofErr w:type="spellEnd"/>
      <w:r w:rsidRPr="006065E2">
        <w:rPr>
          <w:rFonts w:ascii="Times New Roman" w:hAnsi="Times New Roman"/>
          <w:bCs/>
          <w:sz w:val="24"/>
          <w:szCs w:val="20"/>
          <w:lang w:val="en-GB"/>
        </w:rPr>
        <w:t xml:space="preserve"> of Czech Legal History. He is a member of the editorial boards of </w:t>
      </w:r>
      <w:proofErr w:type="spellStart"/>
      <w:r w:rsidRPr="006065E2">
        <w:rPr>
          <w:rFonts w:ascii="Times New Roman" w:hAnsi="Times New Roman"/>
          <w:bCs/>
          <w:sz w:val="24"/>
          <w:szCs w:val="20"/>
          <w:lang w:val="en-GB"/>
        </w:rPr>
        <w:t>Beiträge</w:t>
      </w:r>
      <w:proofErr w:type="spellEnd"/>
      <w:r w:rsidRPr="006065E2">
        <w:rPr>
          <w:rFonts w:ascii="Times New Roman" w:hAnsi="Times New Roman"/>
          <w:bCs/>
          <w:sz w:val="24"/>
          <w:szCs w:val="20"/>
          <w:lang w:val="en-GB"/>
        </w:rPr>
        <w:t xml:space="preserve"> </w:t>
      </w:r>
      <w:proofErr w:type="spellStart"/>
      <w:r w:rsidRPr="006065E2">
        <w:rPr>
          <w:rFonts w:ascii="Times New Roman" w:hAnsi="Times New Roman"/>
          <w:bCs/>
          <w:sz w:val="24"/>
          <w:szCs w:val="20"/>
          <w:lang w:val="en-GB"/>
        </w:rPr>
        <w:t>zur</w:t>
      </w:r>
      <w:proofErr w:type="spellEnd"/>
      <w:r w:rsidRPr="006065E2">
        <w:rPr>
          <w:rFonts w:ascii="Times New Roman" w:hAnsi="Times New Roman"/>
          <w:bCs/>
          <w:sz w:val="24"/>
          <w:szCs w:val="20"/>
          <w:lang w:val="en-GB"/>
        </w:rPr>
        <w:t xml:space="preserve"> </w:t>
      </w:r>
      <w:proofErr w:type="spellStart"/>
      <w:r w:rsidRPr="006065E2">
        <w:rPr>
          <w:rFonts w:ascii="Times New Roman" w:hAnsi="Times New Roman"/>
          <w:bCs/>
          <w:sz w:val="24"/>
          <w:szCs w:val="20"/>
          <w:lang w:val="en-GB"/>
        </w:rPr>
        <w:t>Rechtsgeschichte</w:t>
      </w:r>
      <w:proofErr w:type="spellEnd"/>
      <w:r w:rsidRPr="006065E2">
        <w:rPr>
          <w:rFonts w:ascii="Times New Roman" w:hAnsi="Times New Roman"/>
          <w:bCs/>
          <w:sz w:val="24"/>
          <w:szCs w:val="20"/>
          <w:lang w:val="en-GB"/>
        </w:rPr>
        <w:t xml:space="preserve"> </w:t>
      </w:r>
      <w:proofErr w:type="spellStart"/>
      <w:r w:rsidRPr="006065E2">
        <w:rPr>
          <w:rFonts w:ascii="Times New Roman" w:hAnsi="Times New Roman"/>
          <w:bCs/>
          <w:sz w:val="24"/>
          <w:szCs w:val="20"/>
          <w:lang w:val="en-GB"/>
        </w:rPr>
        <w:t>Österreichs</w:t>
      </w:r>
      <w:proofErr w:type="spellEnd"/>
      <w:r w:rsidRPr="006065E2">
        <w:rPr>
          <w:rFonts w:ascii="Times New Roman" w:hAnsi="Times New Roman"/>
          <w:bCs/>
          <w:sz w:val="24"/>
          <w:szCs w:val="20"/>
          <w:lang w:val="en-GB"/>
        </w:rPr>
        <w:t xml:space="preserve">, Journal on European History of Law and </w:t>
      </w:r>
      <w:proofErr w:type="spellStart"/>
      <w:r w:rsidRPr="006065E2">
        <w:rPr>
          <w:rFonts w:ascii="Times New Roman" w:hAnsi="Times New Roman"/>
          <w:bCs/>
          <w:sz w:val="24"/>
          <w:szCs w:val="20"/>
          <w:lang w:val="en-GB"/>
        </w:rPr>
        <w:t>Časopis</w:t>
      </w:r>
      <w:proofErr w:type="spellEnd"/>
      <w:r w:rsidRPr="006065E2">
        <w:rPr>
          <w:rFonts w:ascii="Times New Roman" w:hAnsi="Times New Roman"/>
          <w:bCs/>
          <w:sz w:val="24"/>
          <w:szCs w:val="20"/>
          <w:lang w:val="en-GB"/>
        </w:rPr>
        <w:t xml:space="preserve"> pro </w:t>
      </w:r>
      <w:proofErr w:type="spellStart"/>
      <w:r w:rsidRPr="006065E2">
        <w:rPr>
          <w:rFonts w:ascii="Times New Roman" w:hAnsi="Times New Roman"/>
          <w:bCs/>
          <w:sz w:val="24"/>
          <w:szCs w:val="20"/>
          <w:lang w:val="en-GB"/>
        </w:rPr>
        <w:t>právní</w:t>
      </w:r>
      <w:proofErr w:type="spellEnd"/>
      <w:r w:rsidRPr="006065E2">
        <w:rPr>
          <w:rFonts w:ascii="Times New Roman" w:hAnsi="Times New Roman"/>
          <w:bCs/>
          <w:sz w:val="24"/>
          <w:szCs w:val="20"/>
          <w:lang w:val="en-GB"/>
        </w:rPr>
        <w:t xml:space="preserve"> </w:t>
      </w:r>
      <w:proofErr w:type="spellStart"/>
      <w:r w:rsidRPr="006065E2">
        <w:rPr>
          <w:rFonts w:ascii="Times New Roman" w:hAnsi="Times New Roman"/>
          <w:bCs/>
          <w:sz w:val="24"/>
          <w:szCs w:val="20"/>
          <w:lang w:val="en-GB"/>
        </w:rPr>
        <w:t>vědu</w:t>
      </w:r>
      <w:proofErr w:type="spellEnd"/>
      <w:r w:rsidRPr="006065E2">
        <w:rPr>
          <w:rFonts w:ascii="Times New Roman" w:hAnsi="Times New Roman"/>
          <w:bCs/>
          <w:sz w:val="24"/>
          <w:szCs w:val="20"/>
          <w:lang w:val="en-GB"/>
        </w:rPr>
        <w:t xml:space="preserve"> a </w:t>
      </w:r>
      <w:proofErr w:type="spellStart"/>
      <w:r w:rsidRPr="006065E2">
        <w:rPr>
          <w:rFonts w:ascii="Times New Roman" w:hAnsi="Times New Roman"/>
          <w:bCs/>
          <w:sz w:val="24"/>
          <w:szCs w:val="20"/>
          <w:lang w:val="en-GB"/>
        </w:rPr>
        <w:t>praxi</w:t>
      </w:r>
      <w:proofErr w:type="spellEnd"/>
      <w:r w:rsidRPr="006065E2">
        <w:rPr>
          <w:rFonts w:ascii="Times New Roman" w:hAnsi="Times New Roman"/>
          <w:bCs/>
          <w:sz w:val="24"/>
          <w:szCs w:val="20"/>
          <w:lang w:val="en-GB"/>
        </w:rPr>
        <w:t>.</w:t>
      </w:r>
    </w:p>
    <w:sectPr w:rsidR="006065E2" w:rsidRPr="006741A2" w:rsidSect="0042257E">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773C" w:rsidRDefault="0062773C" w:rsidP="00A24DB3">
      <w:pPr>
        <w:spacing w:after="0" w:line="240" w:lineRule="auto"/>
      </w:pPr>
      <w:r>
        <w:separator/>
      </w:r>
    </w:p>
  </w:endnote>
  <w:endnote w:type="continuationSeparator" w:id="0">
    <w:p w:rsidR="0062773C" w:rsidRDefault="0062773C" w:rsidP="00A24D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ni Bold">
    <w:panose1 w:val="00000500000000000000"/>
    <w:charset w:val="EE"/>
    <w:family w:val="auto"/>
    <w:pitch w:val="variable"/>
    <w:sig w:usb0="00000007" w:usb1="00000001" w:usb2="00000000" w:usb3="00000000" w:csb0="00000093" w:csb1="00000000"/>
  </w:font>
  <w:font w:name="Muni">
    <w:panose1 w:val="00000500000000000000"/>
    <w:charset w:val="EE"/>
    <w:family w:val="auto"/>
    <w:pitch w:val="variable"/>
    <w:sig w:usb0="00000007" w:usb1="00000001"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DB3" w:rsidRDefault="00A24DB3">
    <w:pPr>
      <w:pStyle w:val="Zp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DB3" w:rsidRDefault="00A24DB3">
    <w:pPr>
      <w:pStyle w:val="Zpa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DB3" w:rsidRDefault="00A24DB3">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773C" w:rsidRDefault="0062773C" w:rsidP="00A24DB3">
      <w:pPr>
        <w:spacing w:after="0" w:line="240" w:lineRule="auto"/>
      </w:pPr>
      <w:r>
        <w:separator/>
      </w:r>
    </w:p>
  </w:footnote>
  <w:footnote w:type="continuationSeparator" w:id="0">
    <w:p w:rsidR="0062773C" w:rsidRDefault="0062773C" w:rsidP="00A24DB3">
      <w:pPr>
        <w:spacing w:after="0" w:line="240" w:lineRule="auto"/>
      </w:pPr>
      <w:r>
        <w:continuationSeparator/>
      </w:r>
    </w:p>
  </w:footnote>
  <w:footnote w:id="1">
    <w:p w:rsidR="00A24DB3" w:rsidRPr="008241CF" w:rsidRDefault="00A24DB3" w:rsidP="00A24DB3">
      <w:pPr>
        <w:pStyle w:val="Textpoznpodarou"/>
        <w:spacing w:after="0"/>
        <w:rPr>
          <w:lang w:val="de-DE"/>
        </w:rPr>
      </w:pPr>
      <w:r w:rsidRPr="008241CF">
        <w:rPr>
          <w:rStyle w:val="Znakapoznpodarou"/>
        </w:rPr>
        <w:footnoteRef/>
      </w:r>
      <w:r w:rsidRPr="008241CF">
        <w:t xml:space="preserve"> </w:t>
      </w:r>
      <w:r w:rsidRPr="00526C1B">
        <w:rPr>
          <w:lang w:val="en-US"/>
        </w:rPr>
        <w:t xml:space="preserve">Generally on law of the Protectorate see: SCHELLE, Karel and </w:t>
      </w:r>
      <w:proofErr w:type="spellStart"/>
      <w:r w:rsidRPr="00526C1B">
        <w:rPr>
          <w:lang w:val="en-US"/>
        </w:rPr>
        <w:t>Jaromír</w:t>
      </w:r>
      <w:proofErr w:type="spellEnd"/>
      <w:r w:rsidRPr="00526C1B">
        <w:rPr>
          <w:lang w:val="en-US"/>
        </w:rPr>
        <w:t xml:space="preserve"> </w:t>
      </w:r>
      <w:proofErr w:type="spellStart"/>
      <w:r w:rsidRPr="00526C1B">
        <w:rPr>
          <w:lang w:val="en-US"/>
        </w:rPr>
        <w:t>Tauchen</w:t>
      </w:r>
      <w:proofErr w:type="spellEnd"/>
      <w:r w:rsidRPr="00526C1B">
        <w:rPr>
          <w:lang w:val="en-US"/>
        </w:rPr>
        <w:t xml:space="preserve">. </w:t>
      </w:r>
      <w:r w:rsidRPr="008241CF">
        <w:rPr>
          <w:i/>
          <w:lang w:val="de-DE"/>
        </w:rPr>
        <w:t>Grundriss der Tschechoslowakischen Rechtsgeschichte</w:t>
      </w:r>
      <w:r>
        <w:rPr>
          <w:lang w:val="de-DE"/>
        </w:rPr>
        <w:t>. München: Dr. Hut Verlag,</w:t>
      </w:r>
      <w:r w:rsidRPr="008241CF">
        <w:rPr>
          <w:lang w:val="de-DE"/>
        </w:rPr>
        <w:t xml:space="preserve"> 2010, p. 63</w:t>
      </w:r>
      <w:r>
        <w:rPr>
          <w:lang w:val="de-DE"/>
        </w:rPr>
        <w:t>.</w:t>
      </w:r>
    </w:p>
  </w:footnote>
  <w:footnote w:id="2">
    <w:p w:rsidR="00A24DB3" w:rsidRPr="008241CF" w:rsidRDefault="00A24DB3" w:rsidP="00A24DB3">
      <w:pPr>
        <w:pStyle w:val="Textpoznpodarou"/>
        <w:spacing w:after="0"/>
      </w:pPr>
      <w:r w:rsidRPr="008241CF">
        <w:rPr>
          <w:rStyle w:val="Znakapoznpodarou"/>
        </w:rPr>
        <w:footnoteRef/>
      </w:r>
      <w:r w:rsidRPr="008241CF">
        <w:t xml:space="preserve"> </w:t>
      </w:r>
      <w:proofErr w:type="spellStart"/>
      <w:r w:rsidRPr="008241CF">
        <w:t>See</w:t>
      </w:r>
      <w:proofErr w:type="spellEnd"/>
      <w:r w:rsidRPr="008241CF">
        <w:t xml:space="preserve">: </w:t>
      </w:r>
      <w:r>
        <w:rPr>
          <w:lang w:val="de-DE"/>
        </w:rPr>
        <w:t>TAUCHEN, J.</w:t>
      </w:r>
      <w:r w:rsidRPr="008241CF">
        <w:rPr>
          <w:lang w:val="de-DE"/>
        </w:rPr>
        <w:t xml:space="preserve"> </w:t>
      </w:r>
      <w:r w:rsidRPr="00526C1B">
        <w:rPr>
          <w:iCs/>
          <w:lang w:val="de-DE"/>
        </w:rPr>
        <w:t>Einige Bemerkungen zur Entwicklung des Arbeitsrechts im Protektorat Böhmen und Mähren</w:t>
      </w:r>
      <w:r w:rsidRPr="00014D39">
        <w:rPr>
          <w:i/>
          <w:lang w:val="de-DE"/>
        </w:rPr>
        <w:t>.</w:t>
      </w:r>
      <w:r w:rsidRPr="008241CF">
        <w:rPr>
          <w:lang w:val="de-DE"/>
        </w:rPr>
        <w:t xml:space="preserve"> </w:t>
      </w:r>
      <w:r w:rsidRPr="00526C1B">
        <w:rPr>
          <w:i/>
          <w:lang w:val="de-DE"/>
        </w:rPr>
        <w:t xml:space="preserve">Journal on European </w:t>
      </w:r>
      <w:proofErr w:type="spellStart"/>
      <w:r w:rsidRPr="00526C1B">
        <w:rPr>
          <w:i/>
          <w:lang w:val="de-DE"/>
        </w:rPr>
        <w:t>History</w:t>
      </w:r>
      <w:proofErr w:type="spellEnd"/>
      <w:r w:rsidRPr="00526C1B">
        <w:rPr>
          <w:i/>
          <w:lang w:val="de-DE"/>
        </w:rPr>
        <w:t xml:space="preserve"> </w:t>
      </w:r>
      <w:proofErr w:type="spellStart"/>
      <w:r w:rsidRPr="00526C1B">
        <w:rPr>
          <w:i/>
          <w:lang w:val="de-DE"/>
        </w:rPr>
        <w:t>of</w:t>
      </w:r>
      <w:proofErr w:type="spellEnd"/>
      <w:r w:rsidRPr="00526C1B">
        <w:rPr>
          <w:i/>
          <w:lang w:val="de-DE"/>
        </w:rPr>
        <w:t xml:space="preserve"> Law</w:t>
      </w:r>
      <w:r>
        <w:rPr>
          <w:iCs/>
          <w:lang w:val="de-DE"/>
        </w:rPr>
        <w:t>,</w:t>
      </w:r>
      <w:r w:rsidRPr="00FE0B95">
        <w:rPr>
          <w:lang w:val="de-DE"/>
        </w:rPr>
        <w:t xml:space="preserve"> 2010, Vol. 1, </w:t>
      </w:r>
      <w:proofErr w:type="spellStart"/>
      <w:r w:rsidRPr="00FE0B95">
        <w:rPr>
          <w:lang w:val="de-DE"/>
        </w:rPr>
        <w:t>No</w:t>
      </w:r>
      <w:proofErr w:type="spellEnd"/>
      <w:r w:rsidRPr="00FE0B95">
        <w:rPr>
          <w:lang w:val="de-DE"/>
        </w:rPr>
        <w:t>. 2, p. 50–54</w:t>
      </w:r>
      <w:r>
        <w:rPr>
          <w:lang w:val="de-DE"/>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57E" w:rsidRDefault="006252DB" w:rsidP="0042257E">
    <w:pPr>
      <w:pStyle w:val="Zhlav"/>
    </w:pPr>
    <w:r w:rsidRPr="00990AD7">
      <w:rPr>
        <w:noProof/>
        <w:lang w:eastAsia="cs-CZ"/>
      </w:rPr>
      <w:drawing>
        <wp:inline distT="0" distB="0" distL="0" distR="0" wp14:anchorId="17636473" wp14:editId="5B11602D">
          <wp:extent cx="3101975" cy="1047750"/>
          <wp:effectExtent l="0" t="0" r="0" b="0"/>
          <wp:docPr id="4" name="obrázek 4" descr="C:\Users\dkolumber\AppData\Local\Temp\MicrosoftEdgeDownloads\3632e407-de17-4185-abd6-de9c81ec890a\law-kdsp-lg-eng-rgb-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kolumber\AppData\Local\Temp\MicrosoftEdgeDownloads\3632e407-de17-4185-abd6-de9c81ec890a\law-kdsp-lg-eng-rgb-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1975" cy="10477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DB3" w:rsidRDefault="00A24DB3">
    <w:pPr>
      <w:pStyle w:val="Zhlav"/>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DB3" w:rsidRDefault="00A24DB3">
    <w:pPr>
      <w:pStyle w:val="Zhlav"/>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DB3" w:rsidRDefault="00A24DB3">
    <w:pPr>
      <w:pStyle w:val="Zhlav"/>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5D1F83"/>
    <w:multiLevelType w:val="hybridMultilevel"/>
    <w:tmpl w:val="CAD8514E"/>
    <w:lvl w:ilvl="0" w:tplc="0405000B">
      <w:start w:val="1"/>
      <w:numFmt w:val="bullet"/>
      <w:lvlText w:val=""/>
      <w:lvlJc w:val="left"/>
      <w:pPr>
        <w:ind w:left="780" w:hanging="360"/>
      </w:pPr>
      <w:rPr>
        <w:rFonts w:ascii="Wingdings" w:hAnsi="Wingdings"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 w15:restartNumberingAfterBreak="0">
    <w:nsid w:val="200C2195"/>
    <w:multiLevelType w:val="multilevel"/>
    <w:tmpl w:val="DAFA213C"/>
    <w:lvl w:ilvl="0">
      <w:start w:val="1"/>
      <w:numFmt w:val="none"/>
      <w:pStyle w:val="Titleofthecontribution"/>
      <w:suff w:val="space"/>
      <w:lvlText w:val="%1"/>
      <w:lvlJc w:val="center"/>
      <w:rPr>
        <w:rFonts w:hint="default"/>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HeadingP1"/>
      <w:suff w:val="space"/>
      <w:lvlText w:val="%2."/>
      <w:lvlJc w:val="left"/>
      <w:pPr>
        <w:ind w:left="0" w:firstLine="0"/>
      </w:pPr>
      <w:rPr>
        <w:rFonts w:hint="default"/>
      </w:rPr>
    </w:lvl>
    <w:lvl w:ilvl="2">
      <w:start w:val="1"/>
      <w:numFmt w:val="decimal"/>
      <w:pStyle w:val="HeadingP2"/>
      <w:suff w:val="space"/>
      <w:lvlText w:val="%1%2.%3"/>
      <w:lvlJc w:val="left"/>
      <w:pPr>
        <w:ind w:left="0" w:firstLine="0"/>
      </w:pPr>
      <w:rPr>
        <w:rFonts w:hint="default"/>
        <w:b/>
        <w:i w:val="0"/>
      </w:rPr>
    </w:lvl>
    <w:lvl w:ilvl="3">
      <w:start w:val="1"/>
      <w:numFmt w:val="decimal"/>
      <w:pStyle w:val="HeadingP3"/>
      <w:suff w:val="space"/>
      <w:lvlText w:val="%1%2.%3.%4"/>
      <w:lvlJc w:val="left"/>
      <w:pPr>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ctiveWritingStyle w:appName="MSWord" w:lang="de-DE" w:vendorID="64" w:dllVersion="131078" w:nlCheck="1" w:checkStyle="0"/>
  <w:activeWritingStyle w:appName="MSWord" w:lang="en-GB"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DB3"/>
    <w:rsid w:val="00070439"/>
    <w:rsid w:val="00124B2F"/>
    <w:rsid w:val="001466AC"/>
    <w:rsid w:val="00184401"/>
    <w:rsid w:val="001E2852"/>
    <w:rsid w:val="004879F4"/>
    <w:rsid w:val="005331EC"/>
    <w:rsid w:val="006065E2"/>
    <w:rsid w:val="006252DB"/>
    <w:rsid w:val="0062773C"/>
    <w:rsid w:val="00661256"/>
    <w:rsid w:val="006741A2"/>
    <w:rsid w:val="006B50C0"/>
    <w:rsid w:val="00761C0C"/>
    <w:rsid w:val="007B0F89"/>
    <w:rsid w:val="008D7181"/>
    <w:rsid w:val="009464E5"/>
    <w:rsid w:val="00A21F62"/>
    <w:rsid w:val="00A24DB3"/>
    <w:rsid w:val="00AC0FF7"/>
    <w:rsid w:val="00AF4C1D"/>
    <w:rsid w:val="00B70A32"/>
    <w:rsid w:val="00D91514"/>
    <w:rsid w:val="00EE4E8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327A3"/>
  <w15:chartTrackingRefBased/>
  <w15:docId w15:val="{B8EC4EB7-BFE3-4105-A85F-AF195E88C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24DB3"/>
    <w:pPr>
      <w:spacing w:after="200" w:line="276" w:lineRule="auto"/>
    </w:pPr>
    <w:rPr>
      <w:rFonts w:ascii="Calibri" w:eastAsia="Calibri" w:hAnsi="Calibri" w:cs="Times New Roman"/>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24DB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24DB3"/>
    <w:rPr>
      <w:rFonts w:ascii="Calibri" w:eastAsia="Calibri" w:hAnsi="Calibri" w:cs="Times New Roman"/>
    </w:rPr>
  </w:style>
  <w:style w:type="character" w:styleId="Hypertextovodkaz">
    <w:name w:val="Hyperlink"/>
    <w:basedOn w:val="Standardnpsmoodstavce"/>
    <w:uiPriority w:val="99"/>
    <w:unhideWhenUsed/>
    <w:rsid w:val="00A24DB3"/>
    <w:rPr>
      <w:color w:val="0563C1" w:themeColor="hyperlink"/>
      <w:u w:val="single"/>
    </w:rPr>
  </w:style>
  <w:style w:type="table" w:styleId="Mkatabulky">
    <w:name w:val="Table Grid"/>
    <w:basedOn w:val="Normlntabulka"/>
    <w:uiPriority w:val="39"/>
    <w:rsid w:val="00A24D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ofthecontribution">
    <w:name w:val="Title of the contribution"/>
    <w:basedOn w:val="Normln"/>
    <w:semiHidden/>
    <w:locked/>
    <w:rsid w:val="00A24DB3"/>
    <w:pPr>
      <w:keepNext/>
      <w:pageBreakBefore/>
      <w:numPr>
        <w:numId w:val="2"/>
      </w:numPr>
      <w:tabs>
        <w:tab w:val="num" w:pos="360"/>
      </w:tabs>
      <w:spacing w:after="240" w:line="240" w:lineRule="auto"/>
      <w:jc w:val="center"/>
      <w:outlineLvl w:val="0"/>
    </w:pPr>
    <w:rPr>
      <w:rFonts w:ascii="Times New Roman" w:eastAsia="Times New Roman" w:hAnsi="Times New Roman"/>
      <w:b/>
      <w:caps/>
      <w:sz w:val="28"/>
      <w:szCs w:val="24"/>
      <w:lang w:eastAsia="cs-CZ"/>
    </w:rPr>
  </w:style>
  <w:style w:type="paragraph" w:customStyle="1" w:styleId="HeadingP1">
    <w:name w:val="Heading P1"/>
    <w:basedOn w:val="Normln"/>
    <w:next w:val="Normln"/>
    <w:rsid w:val="00A24DB3"/>
    <w:pPr>
      <w:keepNext/>
      <w:numPr>
        <w:ilvl w:val="1"/>
        <w:numId w:val="2"/>
      </w:numPr>
      <w:spacing w:before="240" w:after="240" w:line="240" w:lineRule="auto"/>
      <w:jc w:val="both"/>
      <w:outlineLvl w:val="1"/>
    </w:pPr>
    <w:rPr>
      <w:rFonts w:ascii="Times New Roman" w:eastAsia="Times New Roman" w:hAnsi="Times New Roman"/>
      <w:b/>
      <w:caps/>
      <w:sz w:val="24"/>
      <w:szCs w:val="24"/>
      <w:lang w:eastAsia="cs-CZ"/>
    </w:rPr>
  </w:style>
  <w:style w:type="paragraph" w:customStyle="1" w:styleId="HeadingP2">
    <w:name w:val="Heading P2"/>
    <w:basedOn w:val="Normln"/>
    <w:next w:val="Normln"/>
    <w:rsid w:val="00A24DB3"/>
    <w:pPr>
      <w:keepNext/>
      <w:numPr>
        <w:ilvl w:val="2"/>
        <w:numId w:val="2"/>
      </w:numPr>
      <w:spacing w:before="240" w:after="240" w:line="240" w:lineRule="auto"/>
      <w:jc w:val="both"/>
      <w:outlineLvl w:val="2"/>
    </w:pPr>
    <w:rPr>
      <w:rFonts w:ascii="Times New Roman" w:eastAsia="Times New Roman" w:hAnsi="Times New Roman"/>
      <w:b/>
      <w:caps/>
      <w:sz w:val="24"/>
      <w:szCs w:val="24"/>
      <w:lang w:eastAsia="cs-CZ"/>
    </w:rPr>
  </w:style>
  <w:style w:type="paragraph" w:customStyle="1" w:styleId="HeadingP3">
    <w:name w:val="Heading P3"/>
    <w:basedOn w:val="Normln"/>
    <w:next w:val="Normln"/>
    <w:rsid w:val="00A24DB3"/>
    <w:pPr>
      <w:keepNext/>
      <w:numPr>
        <w:ilvl w:val="3"/>
        <w:numId w:val="2"/>
      </w:numPr>
      <w:spacing w:before="240" w:after="240" w:line="240" w:lineRule="auto"/>
      <w:jc w:val="both"/>
      <w:outlineLvl w:val="3"/>
    </w:pPr>
    <w:rPr>
      <w:rFonts w:ascii="Times New Roman" w:eastAsia="Times New Roman" w:hAnsi="Times New Roman"/>
      <w:b/>
      <w:caps/>
      <w:sz w:val="24"/>
      <w:szCs w:val="24"/>
      <w:lang w:eastAsia="cs-CZ"/>
    </w:rPr>
  </w:style>
  <w:style w:type="paragraph" w:styleId="Textpoznpodarou">
    <w:name w:val="footnote text"/>
    <w:aliases w:val="Char"/>
    <w:basedOn w:val="Normln"/>
    <w:link w:val="TextpoznpodarouChar"/>
    <w:uiPriority w:val="99"/>
    <w:qFormat/>
    <w:rsid w:val="00A24DB3"/>
    <w:pPr>
      <w:spacing w:after="120" w:line="240" w:lineRule="auto"/>
      <w:jc w:val="both"/>
    </w:pPr>
    <w:rPr>
      <w:rFonts w:ascii="Times New Roman" w:eastAsia="Times New Roman" w:hAnsi="Times New Roman"/>
      <w:sz w:val="20"/>
      <w:szCs w:val="20"/>
      <w:lang w:eastAsia="cs-CZ"/>
    </w:rPr>
  </w:style>
  <w:style w:type="character" w:customStyle="1" w:styleId="TextpoznpodarouChar">
    <w:name w:val="Text pozn. pod čarou Char"/>
    <w:aliases w:val="Char Char"/>
    <w:basedOn w:val="Standardnpsmoodstavce"/>
    <w:link w:val="Textpoznpodarou"/>
    <w:uiPriority w:val="99"/>
    <w:rsid w:val="00A24DB3"/>
    <w:rPr>
      <w:rFonts w:ascii="Times New Roman" w:eastAsia="Times New Roman" w:hAnsi="Times New Roman" w:cs="Times New Roman"/>
      <w:sz w:val="20"/>
      <w:szCs w:val="20"/>
      <w:lang w:eastAsia="cs-CZ"/>
    </w:rPr>
  </w:style>
  <w:style w:type="character" w:styleId="Znakapoznpodarou">
    <w:name w:val="footnote reference"/>
    <w:rsid w:val="00A24DB3"/>
    <w:rPr>
      <w:vertAlign w:val="superscript"/>
    </w:rPr>
  </w:style>
  <w:style w:type="paragraph" w:styleId="Zpat">
    <w:name w:val="footer"/>
    <w:basedOn w:val="Normln"/>
    <w:link w:val="ZpatChar"/>
    <w:uiPriority w:val="99"/>
    <w:unhideWhenUsed/>
    <w:rsid w:val="00A24DB3"/>
    <w:pPr>
      <w:tabs>
        <w:tab w:val="center" w:pos="4536"/>
        <w:tab w:val="right" w:pos="9072"/>
      </w:tabs>
    </w:pPr>
  </w:style>
  <w:style w:type="character" w:customStyle="1" w:styleId="ZpatChar">
    <w:name w:val="Zápatí Char"/>
    <w:basedOn w:val="Standardnpsmoodstavce"/>
    <w:link w:val="Zpat"/>
    <w:uiPriority w:val="99"/>
    <w:rsid w:val="00A24DB3"/>
    <w:rPr>
      <w:rFonts w:ascii="Calibri" w:eastAsia="Calibri" w:hAnsi="Calibri" w:cs="Times New Roman"/>
    </w:rPr>
  </w:style>
  <w:style w:type="paragraph" w:styleId="Normlnweb">
    <w:name w:val="Normal (Web)"/>
    <w:basedOn w:val="Normln"/>
    <w:uiPriority w:val="99"/>
    <w:semiHidden/>
    <w:unhideWhenUsed/>
    <w:rsid w:val="001E2852"/>
    <w:pPr>
      <w:spacing w:before="100" w:beforeAutospacing="1" w:after="100" w:afterAutospacing="1" w:line="240" w:lineRule="auto"/>
    </w:pPr>
    <w:rPr>
      <w:rFonts w:ascii="Times New Roman" w:eastAsia="Times New Roman" w:hAnsi="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5040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cpusa.org/article/the-vanguard-vs-the-mass-organization/"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yperlink" Target="https://www.cpusa.org/article/the-vanguard-vs-the-mass-organiz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1181</Words>
  <Characters>6970</Characters>
  <Application>Microsoft Office Word</Application>
  <DocSecurity>0</DocSecurity>
  <Lines>58</Lines>
  <Paragraphs>16</Paragraphs>
  <ScaleCrop>false</ScaleCrop>
  <HeadingPairs>
    <vt:vector size="2" baseType="variant">
      <vt:variant>
        <vt:lpstr>Název</vt:lpstr>
      </vt:variant>
      <vt:variant>
        <vt:i4>1</vt:i4>
      </vt:variant>
    </vt:vector>
  </HeadingPairs>
  <TitlesOfParts>
    <vt:vector size="1" baseType="lpstr">
      <vt:lpstr/>
    </vt:vector>
  </TitlesOfParts>
  <Company>Krajský soud v Brně</Company>
  <LinksUpToDate>false</LinksUpToDate>
  <CharactersWithSpaces>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Kolumber David JUDr. Ph.D.</dc:creator>
  <cp:keywords/>
  <dc:description/>
  <cp:lastModifiedBy>David</cp:lastModifiedBy>
  <cp:revision>20</cp:revision>
  <cp:lastPrinted>2024-02-20T21:04:00Z</cp:lastPrinted>
  <dcterms:created xsi:type="dcterms:W3CDTF">2022-07-07T11:35:00Z</dcterms:created>
  <dcterms:modified xsi:type="dcterms:W3CDTF">2026-02-17T16:48:00Z</dcterms:modified>
</cp:coreProperties>
</file>